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8B6" w:rsidRPr="003D070B" w:rsidRDefault="00EA28B6" w:rsidP="00EA28B6">
      <w:pPr>
        <w:overflowPunct w:val="0"/>
        <w:autoSpaceDE w:val="0"/>
        <w:autoSpaceDN w:val="0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3D070B">
        <w:rPr>
          <w:rFonts w:ascii="Times New Roman" w:hAnsi="Times New Roman" w:cs="Times New Roman"/>
          <w:color w:val="000000"/>
          <w:sz w:val="24"/>
          <w:szCs w:val="24"/>
        </w:rPr>
        <w:t>«МИНИСТЕРСТВО ОБРАЗОВАНИЯ РЕСПУБЛИКИ САХА (ЯКУТИЯ)»</w:t>
      </w:r>
    </w:p>
    <w:p w:rsidR="00EA28B6" w:rsidRPr="003D070B" w:rsidRDefault="00EA28B6" w:rsidP="00EA28B6">
      <w:pPr>
        <w:overflowPunct w:val="0"/>
        <w:autoSpaceDE w:val="0"/>
        <w:autoSpaceDN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D070B">
        <w:rPr>
          <w:rFonts w:ascii="Times New Roman" w:hAnsi="Times New Roman" w:cs="Times New Roman"/>
          <w:color w:val="000000"/>
          <w:sz w:val="24"/>
          <w:szCs w:val="24"/>
        </w:rPr>
        <w:t>КОБЯЙСКОЕ УЛУСНОЕ УПРАВЛЕНИЕ ОБРАЗОВАНИЯ</w:t>
      </w:r>
    </w:p>
    <w:p w:rsidR="00EA28B6" w:rsidRPr="003D070B" w:rsidRDefault="00EA28B6" w:rsidP="00EA28B6">
      <w:pPr>
        <w:overflowPunct w:val="0"/>
        <w:autoSpaceDE w:val="0"/>
        <w:autoSpaceDN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МБОУ «</w:t>
      </w:r>
      <w:r w:rsidRPr="003D070B">
        <w:rPr>
          <w:rFonts w:ascii="Times New Roman" w:hAnsi="Times New Roman" w:cs="Times New Roman"/>
          <w:color w:val="000000"/>
          <w:sz w:val="24"/>
          <w:szCs w:val="24"/>
        </w:rPr>
        <w:t>НИДЖИЛИНСКАЯ СРЕДНЯЯ ОБЩЕОБРАЗОВАТЕЛЬНАЯ ШКОЛА»</w:t>
      </w:r>
    </w:p>
    <w:p w:rsidR="00EA28B6" w:rsidRPr="003D070B" w:rsidRDefault="00EA28B6" w:rsidP="00EA28B6">
      <w:pPr>
        <w:overflowPunct w:val="0"/>
        <w:autoSpaceDE w:val="0"/>
        <w:autoSpaceDN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A28B6" w:rsidRPr="00C00566" w:rsidRDefault="00EA28B6" w:rsidP="00EA28B6">
      <w:pPr>
        <w:overflowPunct w:val="0"/>
        <w:autoSpaceDE w:val="0"/>
        <w:autoSpaceDN w:val="0"/>
        <w:jc w:val="center"/>
        <w:rPr>
          <w:rFonts w:ascii="Times New Roman" w:hAnsi="Times New Roman" w:cs="Times New Roman"/>
          <w:color w:val="000000"/>
          <w:sz w:val="28"/>
        </w:rPr>
      </w:pPr>
    </w:p>
    <w:p w:rsidR="00EA28B6" w:rsidRPr="00C00566" w:rsidRDefault="00EA28B6" w:rsidP="00EA28B6">
      <w:pPr>
        <w:overflowPunct w:val="0"/>
        <w:autoSpaceDE w:val="0"/>
        <w:autoSpaceDN w:val="0"/>
        <w:jc w:val="center"/>
        <w:rPr>
          <w:rFonts w:ascii="Times New Roman" w:hAnsi="Times New Roman" w:cs="Times New Roman"/>
          <w:color w:val="000000"/>
          <w:sz w:val="28"/>
        </w:rPr>
      </w:pPr>
    </w:p>
    <w:p w:rsidR="00EA28B6" w:rsidRPr="00C00566" w:rsidRDefault="00EA28B6" w:rsidP="00EA28B6">
      <w:pPr>
        <w:overflowPunct w:val="0"/>
        <w:autoSpaceDE w:val="0"/>
        <w:autoSpaceDN w:val="0"/>
        <w:jc w:val="center"/>
        <w:rPr>
          <w:rFonts w:ascii="Times New Roman" w:hAnsi="Times New Roman" w:cs="Times New Roman"/>
          <w:color w:val="000000"/>
          <w:sz w:val="28"/>
        </w:rPr>
      </w:pPr>
    </w:p>
    <w:p w:rsidR="00EA28B6" w:rsidRDefault="00EA28B6" w:rsidP="00EA28B6">
      <w:pPr>
        <w:overflowPunct w:val="0"/>
        <w:autoSpaceDE w:val="0"/>
        <w:autoSpaceDN w:val="0"/>
        <w:jc w:val="center"/>
        <w:rPr>
          <w:color w:val="000000"/>
          <w:sz w:val="28"/>
        </w:rPr>
      </w:pPr>
    </w:p>
    <w:p w:rsidR="00EA28B6" w:rsidRDefault="00EA28B6" w:rsidP="00EA28B6">
      <w:pPr>
        <w:overflowPunct w:val="0"/>
        <w:autoSpaceDE w:val="0"/>
        <w:autoSpaceDN w:val="0"/>
        <w:jc w:val="center"/>
        <w:rPr>
          <w:color w:val="000000"/>
          <w:sz w:val="28"/>
        </w:rPr>
      </w:pPr>
    </w:p>
    <w:p w:rsidR="00EA28B6" w:rsidRPr="00C00566" w:rsidRDefault="00EA28B6" w:rsidP="00EA28B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</w:pPr>
      <w:r w:rsidRPr="00C00566"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  <w:t>Сукцессионное возобновление лесного полога после низового пожара в окрестностях пос. Чагда</w:t>
      </w:r>
    </w:p>
    <w:p w:rsidR="00EA28B6" w:rsidRPr="00532FF5" w:rsidRDefault="00EA28B6" w:rsidP="00EA28B6">
      <w:pPr>
        <w:overflowPunct w:val="0"/>
        <w:autoSpaceDE w:val="0"/>
        <w:autoSpaceDN w:val="0"/>
        <w:jc w:val="center"/>
        <w:rPr>
          <w:color w:val="000000"/>
          <w:sz w:val="40"/>
          <w:szCs w:val="40"/>
        </w:rPr>
      </w:pPr>
    </w:p>
    <w:p w:rsidR="00EA28B6" w:rsidRPr="00532FF5" w:rsidRDefault="00EA28B6" w:rsidP="00EA28B6">
      <w:pPr>
        <w:overflowPunct w:val="0"/>
        <w:autoSpaceDE w:val="0"/>
        <w:autoSpaceDN w:val="0"/>
        <w:jc w:val="center"/>
        <w:rPr>
          <w:color w:val="000000"/>
          <w:sz w:val="40"/>
          <w:szCs w:val="40"/>
        </w:rPr>
      </w:pPr>
    </w:p>
    <w:p w:rsidR="00EA28B6" w:rsidRDefault="00EA28B6" w:rsidP="00EA28B6">
      <w:pPr>
        <w:overflowPunct w:val="0"/>
        <w:autoSpaceDE w:val="0"/>
        <w:autoSpaceDN w:val="0"/>
        <w:jc w:val="center"/>
        <w:rPr>
          <w:color w:val="000000"/>
          <w:sz w:val="28"/>
        </w:rPr>
      </w:pPr>
    </w:p>
    <w:p w:rsidR="00EA28B6" w:rsidRDefault="00EA28B6" w:rsidP="00EA28B6">
      <w:pPr>
        <w:overflowPunct w:val="0"/>
        <w:autoSpaceDE w:val="0"/>
        <w:autoSpaceDN w:val="0"/>
        <w:jc w:val="center"/>
        <w:rPr>
          <w:color w:val="000000"/>
          <w:sz w:val="28"/>
        </w:rPr>
      </w:pPr>
    </w:p>
    <w:p w:rsidR="00EA28B6" w:rsidRPr="00C00566" w:rsidRDefault="00EA28B6" w:rsidP="00EA28B6">
      <w:pPr>
        <w:overflowPunct w:val="0"/>
        <w:autoSpaceDE w:val="0"/>
        <w:autoSpaceDN w:val="0"/>
        <w:jc w:val="right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00566">
        <w:rPr>
          <w:rFonts w:ascii="Times New Roman" w:hAnsi="Times New Roman" w:cs="Times New Roman"/>
          <w:color w:val="000000"/>
          <w:sz w:val="28"/>
          <w:szCs w:val="28"/>
          <w:u w:val="single"/>
        </w:rPr>
        <w:t>Выполнил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а</w:t>
      </w:r>
      <w:r w:rsidRPr="00C00566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Ноговицына Куннэйэ</w:t>
      </w:r>
    </w:p>
    <w:p w:rsidR="00EA28B6" w:rsidRPr="00C00566" w:rsidRDefault="00EA28B6" w:rsidP="00EA28B6">
      <w:pPr>
        <w:overflowPunct w:val="0"/>
        <w:autoSpaceDE w:val="0"/>
        <w:autoSpaceDN w:val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ученица 9-го</w:t>
      </w:r>
      <w:r w:rsidRPr="00C00566">
        <w:rPr>
          <w:rFonts w:ascii="Times New Roman" w:hAnsi="Times New Roman" w:cs="Times New Roman"/>
          <w:color w:val="000000"/>
          <w:sz w:val="28"/>
          <w:szCs w:val="28"/>
        </w:rPr>
        <w:t xml:space="preserve"> класса </w:t>
      </w:r>
    </w:p>
    <w:p w:rsidR="00EA28B6" w:rsidRPr="00C00566" w:rsidRDefault="00EA28B6" w:rsidP="00EA28B6">
      <w:pPr>
        <w:overflowPunct w:val="0"/>
        <w:autoSpaceDE w:val="0"/>
        <w:autoSpaceDN w:val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МБОУ «</w:t>
      </w:r>
      <w:r w:rsidRPr="00C00566">
        <w:rPr>
          <w:rFonts w:ascii="Times New Roman" w:hAnsi="Times New Roman" w:cs="Times New Roman"/>
          <w:color w:val="000000"/>
          <w:sz w:val="28"/>
          <w:szCs w:val="28"/>
        </w:rPr>
        <w:t>Ниджилинской СОШ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EA28B6" w:rsidRPr="00C00566" w:rsidRDefault="00EA28B6" w:rsidP="00EA28B6">
      <w:pPr>
        <w:overflowPunct w:val="0"/>
        <w:autoSpaceDE w:val="0"/>
        <w:autoSpaceDN w:val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00566">
        <w:rPr>
          <w:rFonts w:ascii="Times New Roman" w:hAnsi="Times New Roman" w:cs="Times New Roman"/>
          <w:color w:val="000000"/>
          <w:sz w:val="28"/>
          <w:szCs w:val="28"/>
          <w:u w:val="single"/>
        </w:rPr>
        <w:t>Научный руководитель</w:t>
      </w:r>
      <w:r w:rsidRPr="00C00566">
        <w:rPr>
          <w:rFonts w:ascii="Times New Roman" w:hAnsi="Times New Roman" w:cs="Times New Roman"/>
          <w:color w:val="000000"/>
          <w:sz w:val="28"/>
          <w:szCs w:val="28"/>
        </w:rPr>
        <w:t>:Татаринова К.И.</w:t>
      </w:r>
    </w:p>
    <w:p w:rsidR="00EA28B6" w:rsidRPr="00C00566" w:rsidRDefault="00EA28B6" w:rsidP="00EA28B6">
      <w:pPr>
        <w:overflowPunct w:val="0"/>
        <w:autoSpaceDE w:val="0"/>
        <w:autoSpaceDN w:val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C00566">
        <w:rPr>
          <w:rFonts w:ascii="Times New Roman" w:hAnsi="Times New Roman" w:cs="Times New Roman"/>
          <w:color w:val="000000"/>
          <w:sz w:val="28"/>
          <w:szCs w:val="28"/>
        </w:rPr>
        <w:t xml:space="preserve">читель географии </w:t>
      </w:r>
    </w:p>
    <w:p w:rsidR="00EA28B6" w:rsidRPr="00C00566" w:rsidRDefault="00EA28B6" w:rsidP="00EA28B6">
      <w:pPr>
        <w:overflowPunct w:val="0"/>
        <w:autoSpaceDE w:val="0"/>
        <w:autoSpaceDN w:val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МБОУ «</w:t>
      </w:r>
      <w:r w:rsidRPr="00C00566">
        <w:rPr>
          <w:rFonts w:ascii="Times New Roman" w:hAnsi="Times New Roman" w:cs="Times New Roman"/>
          <w:color w:val="000000"/>
          <w:sz w:val="28"/>
          <w:szCs w:val="28"/>
        </w:rPr>
        <w:t>Ниджилинской СОШ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EA28B6" w:rsidRDefault="00EA28B6" w:rsidP="00EA28B6">
      <w:pPr>
        <w:overflowPunct w:val="0"/>
        <w:autoSpaceDE w:val="0"/>
        <w:autoSpaceDN w:val="0"/>
        <w:rPr>
          <w:color w:val="000000"/>
          <w:sz w:val="28"/>
        </w:rPr>
      </w:pPr>
    </w:p>
    <w:p w:rsidR="00EA28B6" w:rsidRDefault="00EA28B6" w:rsidP="00EA28B6">
      <w:pPr>
        <w:overflowPunct w:val="0"/>
        <w:autoSpaceDE w:val="0"/>
        <w:autoSpaceDN w:val="0"/>
        <w:jc w:val="center"/>
        <w:rPr>
          <w:color w:val="000000"/>
          <w:sz w:val="28"/>
        </w:rPr>
      </w:pPr>
    </w:p>
    <w:p w:rsidR="00EA28B6" w:rsidRDefault="00EA28B6" w:rsidP="00EA28B6">
      <w:pPr>
        <w:overflowPunct w:val="0"/>
        <w:autoSpaceDE w:val="0"/>
        <w:autoSpaceDN w:val="0"/>
        <w:jc w:val="center"/>
        <w:rPr>
          <w:color w:val="000000"/>
          <w:sz w:val="28"/>
        </w:rPr>
      </w:pPr>
    </w:p>
    <w:p w:rsidR="00EA28B6" w:rsidRDefault="00EA28B6" w:rsidP="00EA28B6">
      <w:pPr>
        <w:overflowPunct w:val="0"/>
        <w:autoSpaceDE w:val="0"/>
        <w:autoSpaceDN w:val="0"/>
        <w:jc w:val="center"/>
        <w:rPr>
          <w:color w:val="000000"/>
          <w:sz w:val="28"/>
        </w:rPr>
      </w:pPr>
    </w:p>
    <w:p w:rsidR="00EA28B6" w:rsidRDefault="00EA28B6" w:rsidP="00EA28B6">
      <w:pPr>
        <w:overflowPunct w:val="0"/>
        <w:autoSpaceDE w:val="0"/>
        <w:autoSpaceDN w:val="0"/>
        <w:jc w:val="center"/>
        <w:rPr>
          <w:color w:val="000000"/>
          <w:sz w:val="28"/>
        </w:rPr>
      </w:pPr>
    </w:p>
    <w:p w:rsidR="00EA28B6" w:rsidRPr="00C00566" w:rsidRDefault="00EA28B6" w:rsidP="00EA28B6">
      <w:pPr>
        <w:overflowPunct w:val="0"/>
        <w:autoSpaceDE w:val="0"/>
        <w:autoSpaceDN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с. Чагда, 2019</w:t>
      </w:r>
      <w:r w:rsidRPr="00C005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28B6" w:rsidRDefault="00EA28B6" w:rsidP="00EA28B6">
      <w:pPr>
        <w:overflowPunct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</w:pPr>
    </w:p>
    <w:p w:rsidR="00EA28B6" w:rsidRPr="008475AE" w:rsidRDefault="00EA28B6" w:rsidP="00EA28B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</w:pPr>
    </w:p>
    <w:p w:rsidR="00EA28B6" w:rsidRDefault="00EA28B6" w:rsidP="00EA28B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lastRenderedPageBreak/>
        <w:t>Содержание</w:t>
      </w:r>
    </w:p>
    <w:p w:rsidR="00EA28B6" w:rsidRDefault="00EA28B6" w:rsidP="00EA28B6">
      <w:pPr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</w:pPr>
    </w:p>
    <w:p w:rsidR="00EA28B6" w:rsidRPr="00A023AC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3AC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Введение....................................................................................................................</w:t>
      </w: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.......2</w:t>
      </w:r>
    </w:p>
    <w:p w:rsidR="00EA28B6" w:rsidRPr="00A023AC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3AC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Материал и методика.........................................................................................</w:t>
      </w: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EA28B6" w:rsidRPr="00A023AC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3AC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Результаты исследования.................................................................................</w:t>
      </w: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.5</w:t>
      </w:r>
    </w:p>
    <w:p w:rsidR="00EA28B6" w:rsidRPr="00A023AC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Возобновление  трехлетней гари на южной стороне пос. Чагда………………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EA28B6" w:rsidRPr="00A023AC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Возобновление трехлетней гари с северной стороны пос. Чагда……………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..7</w:t>
      </w:r>
    </w:p>
    <w:p w:rsidR="00EA28B6" w:rsidRPr="00A023AC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Возобновление пятилетней гари на северной стороне пос. Чагда…………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..10</w:t>
      </w:r>
    </w:p>
    <w:p w:rsidR="00EA28B6" w:rsidRPr="00A023AC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3AC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Заключение..............................................................................................................</w:t>
      </w: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......13</w:t>
      </w:r>
    </w:p>
    <w:p w:rsidR="00EA28B6" w:rsidRPr="00A023AC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3AC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Список литературы........................................................................................</w:t>
      </w: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023AC">
        <w:rPr>
          <w:rFonts w:ascii="Times New Roman" w:eastAsia="Times New Roman" w:hAnsi="Times New Roman" w:cs="Times New Roman"/>
          <w:sz w:val="24"/>
          <w:szCs w:val="24"/>
          <w:lang w:eastAsia="ru-RU"/>
        </w:rPr>
        <w:t>..14</w:t>
      </w:r>
    </w:p>
    <w:p w:rsidR="00EA28B6" w:rsidRPr="00A023AC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A023AC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br w:type="page"/>
      </w:r>
    </w:p>
    <w:p w:rsidR="00EA28B6" w:rsidRPr="008475AE" w:rsidRDefault="00EA28B6" w:rsidP="00EA28B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lastRenderedPageBreak/>
        <w:t>Введение</w:t>
      </w:r>
    </w:p>
    <w:p w:rsidR="00EA28B6" w:rsidRPr="008475AE" w:rsidRDefault="00EA28B6" w:rsidP="00EA28B6">
      <w:pPr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>Актуальность темы.</w:t>
      </w:r>
    </w:p>
    <w:p w:rsidR="00EA28B6" w:rsidRPr="008475AE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Леса Якутии отличаются чрезвычайно высокой горимостью, что определяется как антропогенными, так и естественными причинами возникновения. В последние годы усиливается роль человека в возникновении и распространении лесных пожаров. За последние 12 лет на территории республики зарегистрировано более 10000 пожаров. Причины возникновения пожаров разнообразны: более половины от грозовых разрядов и сельхозпалов. 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Центральные районы Якутии по сравнению с другими районами длительное историческое время характеризовались особенно высокой горимостью лесов, что связано не только с засушливыми условиями и большой плотностью населения, но и с направлением хозяйства в этих районах. Огневая очистка лугов, пастбищ и сенокосов до недавнего времени являлась основной причиной возникновения лесных пожаров. Высокая частота пожаров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в Центральной Якутии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объясняется наиболее высокой плотностью населения и относительной разветвленностью транспортной сети, а также вытекающими из этого разнообразными видами антропогенного воздействия, прямо или косвенно влияющими на пожарную опасность.</w:t>
      </w:r>
    </w:p>
    <w:p w:rsidR="00EA28B6" w:rsidRPr="001F7B23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1F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</w:t>
      </w:r>
      <w:r w:rsidRPr="001F7B23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>ы</w:t>
      </w:r>
      <w:r w:rsidRPr="001F7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исследования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–возобновляемая растительность 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различной давности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>Цель работы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– определить степень возобновляемости лесного полога после низовых пожаров в окрестностях пос. Чагда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Для достижения цели были определены следующие </w:t>
      </w:r>
      <w:r w:rsidRPr="008475AE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>задачи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: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1. Определить возобновляемые виды растений на гарях различной давности;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2. Выявить количественное соотношение возобновляемых видов;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3. Выявить динамику возобновления лесного полога после пожара;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4. Сравнить степень возобновления с возобновлением в контрольных участках;</w:t>
      </w:r>
    </w:p>
    <w:p w:rsidR="00EA28B6" w:rsidRPr="008475AE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5. Сделать выводы.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A28B6" w:rsidRPr="008475AE" w:rsidRDefault="00EA28B6" w:rsidP="00EA28B6">
      <w:pPr>
        <w:tabs>
          <w:tab w:val="left" w:pos="7938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5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Материал и методы исследования</w:t>
      </w:r>
    </w:p>
    <w:p w:rsidR="00EA28B6" w:rsidRPr="001F7B23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Исследования проводили на разновозрастных гарях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окрестностей пос. Чагда Кобяйского улуса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2015 г по 2017 г.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Изучение возобновления полога леса после низового пожара проводили на трех участках: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арь201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г.на южной стороне поселка и контрольный участок;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арь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г.на северной стороне поселка и контрольный участок;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арь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2012 г.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на северной стороне поселка и контрольный участок.</w:t>
      </w:r>
    </w:p>
    <w:p w:rsidR="00EA28B6" w:rsidRPr="001B3EFE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Для проведения подсчетов возобновляемых растений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отмер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ли в каждой гари по 10 площадокс площадью 4 кв.м. и по 10 контрольных площадок возле каждой гари.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Квадратные учетные площадки размером 4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кв.м. 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располагались рядами парал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лельно друг другу поперек гари.</w:t>
      </w:r>
    </w:p>
    <w:p w:rsidR="00EA28B6" w:rsidRDefault="00EA28B6" w:rsidP="00EA28B6">
      <w:pPr>
        <w:ind w:firstLine="0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C93D01">
        <w:rPr>
          <w:rFonts w:ascii="Times New Roman" w:eastAsia="Times New Roman" w:hAnsi="Times New Roman" w:cs="Times New Roman"/>
          <w:noProof/>
          <w:color w:val="C00000"/>
          <w:sz w:val="24"/>
          <w:szCs w:val="24"/>
          <w:lang w:eastAsia="ru-RU"/>
        </w:rPr>
        <w:pict>
          <v:rect id="_x0000_s1028" style="position:absolute;left:0;text-align:left;margin-left:252pt;margin-top:170.55pt;width:18.35pt;height:16.1pt;z-index:251662336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207.55pt;margin-top:55.65pt;width:22.95pt;height:14.55pt;z-index:251661312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235.9pt;margin-top:114.65pt;width:22.95pt;height:18.4pt;z-index:251660288"/>
        </w:pict>
      </w:r>
      <w:r w:rsidRPr="00B35D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4328" cy="3912042"/>
            <wp:effectExtent l="19050" t="0" r="4472" b="0"/>
            <wp:docPr id="5" name="Рисунок 1" descr="F:\Генплан\1 - Ситуационный пла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Генплан\1 - Ситуационный 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16" cy="391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Рис.1. Место проведения исследований</w:t>
      </w:r>
    </w:p>
    <w:p w:rsidR="00EA28B6" w:rsidRDefault="00EA28B6" w:rsidP="00EA28B6">
      <w:pPr>
        <w:pStyle w:val="a6"/>
        <w:ind w:left="1069" w:firstLine="0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1-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Южная сторона</w:t>
      </w:r>
    </w:p>
    <w:p w:rsidR="00EA28B6" w:rsidRDefault="00EA28B6" w:rsidP="00EA28B6">
      <w:pPr>
        <w:pStyle w:val="a6"/>
        <w:ind w:left="1069" w:firstLine="0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2- северная 3-летняя гарь</w:t>
      </w:r>
    </w:p>
    <w:p w:rsidR="00EA28B6" w:rsidRPr="003D070B" w:rsidRDefault="00EA28B6" w:rsidP="00EA28B6">
      <w:pPr>
        <w:pStyle w:val="a6"/>
        <w:ind w:left="1069" w:firstLine="0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3-северная 5-летняя гарь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B35D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72097" cy="3239310"/>
            <wp:effectExtent l="0" t="0" r="0" b="0"/>
            <wp:docPr id="6" name="Рисунок 2" descr="F:\Генплан\3 - Генеральный пла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Генплан\3 - Генеральный план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14" cy="32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исследования являлись гари различной давности пожара, находящиеся на различных стадиях сукцессии. Исследования проведены по общепринятым лесоводс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твенно-геоботаническим методам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(Методы изучения..., 2002). 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процессов естественного возобновления осуществляли по методу П.А. Цветкова, который основывается на методике изучения лесовосстановительн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 процессов А.В. Побединского.</w:t>
      </w:r>
    </w:p>
    <w:p w:rsidR="00EA28B6" w:rsidRPr="00F76739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данных полевых исследований велась при помощи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статистических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методов. Из собранных данных выведены средние значения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(М)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ошибки (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), процентные соотношения возобновляемых видов, количество возобновляемого подроста на 1 га гари путем экстраполяции.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br w:type="page"/>
      </w:r>
    </w:p>
    <w:p w:rsidR="00EA28B6" w:rsidRDefault="00EA28B6" w:rsidP="00EA28B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Результаты исследования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8B6" w:rsidRPr="0065358A" w:rsidRDefault="00EA28B6" w:rsidP="00EA28B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35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Возобновление  трехлетней гари на южной стороне пос. Чагда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По результатам исследований на южной стороне пос. Чагда в гари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летней давности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(2014 г.) в первый год исследований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было выявлено, что на большей части (86%) под пологом леса выросла травянистая растительность. На площадке также выявлено произрастание березы плосколистной (</w:t>
      </w:r>
      <w:r w:rsidRPr="00713A85">
        <w:rPr>
          <w:rFonts w:ascii="Times New Roman" w:hAnsi="Times New Roman" w:cs="Times New Roman"/>
          <w:i/>
          <w:iCs/>
          <w:sz w:val="24"/>
          <w:szCs w:val="24"/>
          <w:lang w:val="la-Latn"/>
        </w:rPr>
        <w:t>Bétula platyphýlla</w:t>
      </w:r>
      <w:r>
        <w:rPr>
          <w:i/>
          <w:iCs/>
          <w:lang w:val="sah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от 2 до 6 штук на исследуемой площадке, в среднем 4,4 штуки. Для вычисления средней арифметической все имеющиеся данные по 10 площадкам суммировали и делили на 10. На контрольном участке возобновление подроста составляло от </w:t>
      </w:r>
      <w:r w:rsidRPr="0068389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до 22 штук, в среднем 15,4 штук (табл. 1). </w:t>
      </w:r>
    </w:p>
    <w:p w:rsidR="00EA28B6" w:rsidRPr="005405DF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последующие годы количество возобновляемых деревьев увеличилось как на исследуемой площадке, так и на контрольной (табл. 1). Во второй год возобновления в среднем березы плосколистной составляло 5,8 штуки на 4 кв.м. В третий год этот показатель увеличился до 7,2 штук. На контрольном участке, соответственно, второй год – 16,3 штуки,  третий  год – 16,2 штуки. 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Ближе к осени на месте исследований отмечено массовое  произрастание  иван-чая, как одного из основных сукцессионных растений. Путем эксраполяции можно подсчитать, что 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однолетних всходов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березы плосколистной на данном исследуемом участке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первый год исследований  достиг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ло 11000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экз./га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. Если на 4 кв.м. в среднем 4,4. шт. подроста березы, то чтобы рассчитать на 1 га, т.е. 1</w:t>
      </w:r>
      <w:r w:rsidRPr="007E3CD4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00 кв.м. мы 4,4 умножаем на 1</w:t>
      </w:r>
      <w:r w:rsidRPr="007E3CD4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00 и делим на 4. Получится 110</w:t>
      </w:r>
      <w:r w:rsidRPr="00373F91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штук. На контрольном участке при расчете на 1га получится 38500 экз./га. Как видим, возобновление на гари в 3,5 раза меньше, чем в контроле. </w:t>
      </w:r>
    </w:p>
    <w:p w:rsidR="00EA28B6" w:rsidRPr="00F35A98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последующие годы разница между исследуемой и контрольной площадками сократилась. Количество возобновляемых деревьев на второй год роста составило – 14500 штук на 1 га, на третий год -  18000 штук на 1 га. На контрольном участке, соответственно, 40750 и 40500. Разница гари с контрольной площадкой уменьшилась: возобновление на гари меньше, чем в контроле, в 2,2 раза.</w:t>
      </w:r>
    </w:p>
    <w:p w:rsidR="00EA28B6" w:rsidRDefault="00EA28B6" w:rsidP="00EA28B6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B35D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8015" cy="2027840"/>
            <wp:effectExtent l="19050" t="0" r="0" b="0"/>
            <wp:docPr id="3" name="Рисунок 2" descr="C:\Users\Клавдия\Desktop\20150624_14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авдия\Desktop\20150624_143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69" cy="203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Рис. 2. Пожар в окрестности пос. Чагда </w:t>
      </w:r>
    </w:p>
    <w:p w:rsidR="00EA28B6" w:rsidRDefault="00EA28B6" w:rsidP="00EA28B6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B35D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1120" cy="2440295"/>
            <wp:effectExtent l="19050" t="0" r="1180" b="0"/>
            <wp:docPr id="4" name="Рисунок 1" descr="C:\Users\Клавдия\Desktop\20150624_14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авдия\Desktop\20150624_144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474" r="18192" b="1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11" cy="244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Рис. 3. Сукцессионное возобновление березы плосколистной 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A28B6" w:rsidRDefault="00EA28B6" w:rsidP="00EA28B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2B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Возобновление трехлетней гари с северной стороны пос. Чагда</w:t>
      </w:r>
    </w:p>
    <w:p w:rsidR="00EA28B6" w:rsidRPr="003F2B5E" w:rsidRDefault="00EA28B6" w:rsidP="00EA28B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8B6" w:rsidRPr="001734CF" w:rsidRDefault="00EA28B6" w:rsidP="00EA28B6">
      <w:pPr>
        <w:rPr>
          <w:rFonts w:ascii="Times New Roman" w:hAnsi="Times New Roman" w:cs="Times New Roman"/>
          <w:sz w:val="24"/>
          <w:szCs w:val="24"/>
          <w:lang w:val="sah-RU"/>
        </w:rPr>
      </w:pPr>
      <w:r w:rsidRPr="001734CF">
        <w:rPr>
          <w:rFonts w:ascii="Times New Roman" w:hAnsi="Times New Roman" w:cs="Times New Roman"/>
          <w:sz w:val="24"/>
          <w:szCs w:val="24"/>
          <w:lang w:val="sah-RU"/>
        </w:rPr>
        <w:t>С северной стороны пос. Чагда в 2 км от него есть наледь. Вокруг наледи обильно произрастают голубика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(</w:t>
      </w:r>
      <w:r w:rsidRPr="006312E7">
        <w:rPr>
          <w:rFonts w:ascii="Times New Roman" w:hAnsi="Times New Roman" w:cs="Times New Roman"/>
          <w:i/>
          <w:iCs/>
          <w:sz w:val="24"/>
          <w:szCs w:val="24"/>
          <w:lang w:val="la-Latn"/>
        </w:rPr>
        <w:t>Vaccínium uliginósum</w:t>
      </w:r>
      <w:r>
        <w:rPr>
          <w:i/>
          <w:iCs/>
          <w:lang w:val="sah-RU"/>
        </w:rPr>
        <w:t>)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 xml:space="preserve">, различные виды низкорослых кустарников. Изредка перемешивается лиственница даурская </w:t>
      </w:r>
      <w:r>
        <w:rPr>
          <w:rFonts w:ascii="Times New Roman" w:hAnsi="Times New Roman" w:cs="Times New Roman"/>
          <w:sz w:val="24"/>
          <w:szCs w:val="24"/>
          <w:lang w:val="sah-RU"/>
        </w:rPr>
        <w:t>(</w:t>
      </w:r>
      <w:r w:rsidRPr="006312E7">
        <w:rPr>
          <w:rFonts w:ascii="Times New Roman" w:hAnsi="Times New Roman" w:cs="Times New Roman"/>
          <w:i/>
          <w:iCs/>
          <w:sz w:val="24"/>
          <w:szCs w:val="24"/>
          <w:lang w:val="la-Latn"/>
        </w:rPr>
        <w:t>Lárix gmélinii</w:t>
      </w:r>
      <w:r w:rsidRPr="006312E7">
        <w:rPr>
          <w:sz w:val="24"/>
          <w:szCs w:val="24"/>
        </w:rPr>
        <w:t>)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>и береза плосколистная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(</w:t>
      </w:r>
      <w:r w:rsidRPr="00713A85">
        <w:rPr>
          <w:rFonts w:ascii="Times New Roman" w:hAnsi="Times New Roman" w:cs="Times New Roman"/>
          <w:i/>
          <w:iCs/>
          <w:sz w:val="24"/>
          <w:szCs w:val="24"/>
          <w:lang w:val="la-Latn"/>
        </w:rPr>
        <w:t>Bétula platyphýlla</w:t>
      </w:r>
      <w:r>
        <w:rPr>
          <w:rFonts w:ascii="Times New Roman" w:hAnsi="Times New Roman" w:cs="Times New Roman"/>
          <w:i/>
          <w:iCs/>
          <w:sz w:val="24"/>
          <w:szCs w:val="24"/>
          <w:lang w:val="sah-RU"/>
        </w:rPr>
        <w:t>)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>. Здесь низовой пожар был  в 20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sah-RU"/>
        </w:rPr>
        <w:t>0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 xml:space="preserve"> году. Этот пожар  уничтожил лесной полог  с пос. Чагда до оз.Ниджили. Местами оставались нетронутые островки леса.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1734CF">
        <w:rPr>
          <w:rFonts w:ascii="Times New Roman" w:hAnsi="Times New Roman" w:cs="Times New Roman"/>
          <w:sz w:val="24"/>
          <w:szCs w:val="24"/>
          <w:lang w:val="sah-RU"/>
        </w:rPr>
        <w:t xml:space="preserve">В 2014 году был пожар на одном из нетронутых островков. В 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первый год исследований в 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 xml:space="preserve">1-летней гари также на всех исследуемых площадках зарегистрировали произрастание голубики высотой кустиков 10-12 см. 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Процентное соотношение между голубикой и 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>берез</w:t>
      </w:r>
      <w:r>
        <w:rPr>
          <w:rFonts w:ascii="Times New Roman" w:hAnsi="Times New Roman" w:cs="Times New Roman"/>
          <w:sz w:val="24"/>
          <w:szCs w:val="24"/>
          <w:lang w:val="sah-RU"/>
        </w:rPr>
        <w:t>ой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 xml:space="preserve"> плосколистной составил </w:t>
      </w:r>
      <w:r>
        <w:rPr>
          <w:rFonts w:ascii="Times New Roman" w:hAnsi="Times New Roman" w:cs="Times New Roman"/>
          <w:sz w:val="24"/>
          <w:szCs w:val="24"/>
          <w:lang w:val="sah-RU"/>
        </w:rPr>
        <w:t>94,4% и 5,6%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>, лиственницы даурской не отмечено.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1-летней гари количество однолетних всходов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голубики на 4 м² 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достига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лоот 3 до 8, в среднем 5,1 экз., березы плосколистной – от 0 до 2, в среднем 0,3 экз. В пересчете на 1 га это составило: голубики -1275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0экз/га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, березы плосколистной – 75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экз/га (табл. 1)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последующие годы количество подрастающей голубики и березы плосколистной увеличилось (табл. 1).</w:t>
      </w:r>
    </w:p>
    <w:p w:rsidR="00EA28B6" w:rsidRPr="008E5178" w:rsidRDefault="00EA28B6" w:rsidP="00EA28B6">
      <w:pPr>
        <w:rPr>
          <w:rFonts w:ascii="Times New Roman" w:hAnsi="Times New Roman" w:cs="Times New Roman"/>
          <w:sz w:val="24"/>
          <w:szCs w:val="24"/>
          <w:lang w:val="sah-RU"/>
        </w:rPr>
      </w:pPr>
      <w:r w:rsidRPr="008E5178">
        <w:rPr>
          <w:rFonts w:ascii="Times New Roman" w:hAnsi="Times New Roman" w:cs="Times New Roman"/>
          <w:sz w:val="24"/>
          <w:szCs w:val="24"/>
        </w:rPr>
        <w:t>На в</w:t>
      </w:r>
      <w:r w:rsidRPr="008E5178">
        <w:rPr>
          <w:rFonts w:ascii="Times New Roman" w:hAnsi="Times New Roman" w:cs="Times New Roman"/>
          <w:sz w:val="24"/>
          <w:szCs w:val="24"/>
          <w:lang w:val="sah-RU"/>
        </w:rPr>
        <w:t xml:space="preserve">торой год сукцессионных изменений  к двум видам добавилась лиственница даурская.  Процентное соотношение произрастания на данной гари по средним данным следующее: голубика – </w:t>
      </w:r>
      <w:r w:rsidRPr="008E5178">
        <w:rPr>
          <w:rFonts w:ascii="Times New Roman" w:hAnsi="Times New Roman" w:cs="Times New Roman"/>
          <w:sz w:val="24"/>
          <w:szCs w:val="24"/>
        </w:rPr>
        <w:t>89,5</w:t>
      </w:r>
      <w:r w:rsidRPr="008E5178">
        <w:rPr>
          <w:rFonts w:ascii="Times New Roman" w:hAnsi="Times New Roman" w:cs="Times New Roman"/>
          <w:sz w:val="24"/>
          <w:szCs w:val="24"/>
          <w:lang w:val="sah-RU"/>
        </w:rPr>
        <w:t xml:space="preserve">%, береза плосколистная – </w:t>
      </w:r>
      <w:r w:rsidRPr="008E5178">
        <w:rPr>
          <w:rFonts w:ascii="Times New Roman" w:hAnsi="Times New Roman" w:cs="Times New Roman"/>
          <w:sz w:val="24"/>
          <w:szCs w:val="24"/>
        </w:rPr>
        <w:t>9,5</w:t>
      </w:r>
      <w:r w:rsidRPr="008E5178">
        <w:rPr>
          <w:rFonts w:ascii="Times New Roman" w:hAnsi="Times New Roman" w:cs="Times New Roman"/>
          <w:sz w:val="24"/>
          <w:szCs w:val="24"/>
          <w:lang w:val="sah-RU"/>
        </w:rPr>
        <w:t xml:space="preserve"> %, лиственница даурская – </w:t>
      </w:r>
      <w:r w:rsidRPr="008E5178">
        <w:rPr>
          <w:rFonts w:ascii="Times New Roman" w:hAnsi="Times New Roman" w:cs="Times New Roman"/>
          <w:sz w:val="24"/>
          <w:szCs w:val="24"/>
        </w:rPr>
        <w:t>1,0</w:t>
      </w:r>
      <w:r w:rsidRPr="008E5178">
        <w:rPr>
          <w:rFonts w:ascii="Times New Roman" w:hAnsi="Times New Roman" w:cs="Times New Roman"/>
          <w:sz w:val="24"/>
          <w:szCs w:val="24"/>
          <w:lang w:val="sah-RU"/>
        </w:rPr>
        <w:t xml:space="preserve">%. На площадке в среднем зафиксировано </w:t>
      </w:r>
      <w:r w:rsidRPr="008E5178">
        <w:rPr>
          <w:rFonts w:ascii="Times New Roman" w:hAnsi="Times New Roman" w:cs="Times New Roman"/>
          <w:sz w:val="24"/>
          <w:szCs w:val="24"/>
        </w:rPr>
        <w:t>8</w:t>
      </w:r>
      <w:r w:rsidRPr="008E5178">
        <w:rPr>
          <w:rFonts w:ascii="Times New Roman" w:hAnsi="Times New Roman" w:cs="Times New Roman"/>
          <w:sz w:val="24"/>
          <w:szCs w:val="24"/>
          <w:lang w:val="sah-RU"/>
        </w:rPr>
        <w:t>,5 экз. голубики, 0,</w:t>
      </w:r>
      <w:r w:rsidRPr="008E5178">
        <w:rPr>
          <w:rFonts w:ascii="Times New Roman" w:hAnsi="Times New Roman" w:cs="Times New Roman"/>
          <w:sz w:val="24"/>
          <w:szCs w:val="24"/>
        </w:rPr>
        <w:t>9</w:t>
      </w:r>
      <w:r w:rsidRPr="008E5178">
        <w:rPr>
          <w:rFonts w:ascii="Times New Roman" w:hAnsi="Times New Roman" w:cs="Times New Roman"/>
          <w:sz w:val="24"/>
          <w:szCs w:val="24"/>
          <w:lang w:val="sah-RU"/>
        </w:rPr>
        <w:t xml:space="preserve"> экз. березы плосколистной и 0,</w:t>
      </w:r>
      <w:r w:rsidRPr="008E5178">
        <w:rPr>
          <w:rFonts w:ascii="Times New Roman" w:hAnsi="Times New Roman" w:cs="Times New Roman"/>
          <w:sz w:val="24"/>
          <w:szCs w:val="24"/>
        </w:rPr>
        <w:t>1</w:t>
      </w:r>
      <w:r w:rsidRPr="008E5178">
        <w:rPr>
          <w:rFonts w:ascii="Times New Roman" w:hAnsi="Times New Roman" w:cs="Times New Roman"/>
          <w:sz w:val="24"/>
          <w:szCs w:val="24"/>
          <w:lang w:val="sah-RU"/>
        </w:rPr>
        <w:t xml:space="preserve"> экз. лиственницы даурской. Путем экстрапо</w:t>
      </w:r>
      <w:r w:rsidRPr="008E5178">
        <w:rPr>
          <w:rFonts w:ascii="Times New Roman" w:hAnsi="Times New Roman" w:cs="Times New Roman"/>
          <w:sz w:val="24"/>
          <w:szCs w:val="24"/>
        </w:rPr>
        <w:t>л</w:t>
      </w:r>
      <w:r w:rsidRPr="008E5178">
        <w:rPr>
          <w:rFonts w:ascii="Times New Roman" w:hAnsi="Times New Roman" w:cs="Times New Roman"/>
          <w:sz w:val="24"/>
          <w:szCs w:val="24"/>
          <w:lang w:val="sah-RU"/>
        </w:rPr>
        <w:t xml:space="preserve">яции подсчитали количество экземпляров на 1 га гари. В 2-летней гари количество возобновляемого подроста голубики составило </w:t>
      </w:r>
      <w:r w:rsidRPr="008E5178">
        <w:rPr>
          <w:rFonts w:ascii="Times New Roman" w:hAnsi="Times New Roman" w:cs="Times New Roman"/>
          <w:sz w:val="24"/>
          <w:szCs w:val="24"/>
        </w:rPr>
        <w:t>21250</w:t>
      </w:r>
      <w:r w:rsidRPr="008E5178">
        <w:rPr>
          <w:rFonts w:ascii="Times New Roman" w:hAnsi="Times New Roman" w:cs="Times New Roman"/>
          <w:sz w:val="24"/>
          <w:szCs w:val="24"/>
          <w:lang w:val="sah-RU"/>
        </w:rPr>
        <w:t xml:space="preserve"> экз/га, березы плосколистной – </w:t>
      </w:r>
      <w:r w:rsidRPr="008E5178">
        <w:rPr>
          <w:rFonts w:ascii="Times New Roman" w:hAnsi="Times New Roman" w:cs="Times New Roman"/>
          <w:sz w:val="24"/>
          <w:szCs w:val="24"/>
        </w:rPr>
        <w:t>2250</w:t>
      </w:r>
      <w:r w:rsidRPr="008E5178">
        <w:rPr>
          <w:rFonts w:ascii="Times New Roman" w:hAnsi="Times New Roman" w:cs="Times New Roman"/>
          <w:sz w:val="24"/>
          <w:szCs w:val="24"/>
          <w:lang w:val="sah-RU"/>
        </w:rPr>
        <w:t xml:space="preserve"> экз/га, лиственницы даурской – </w:t>
      </w:r>
      <w:r w:rsidRPr="008E5178">
        <w:rPr>
          <w:rFonts w:ascii="Times New Roman" w:hAnsi="Times New Roman" w:cs="Times New Roman"/>
          <w:sz w:val="24"/>
          <w:szCs w:val="24"/>
        </w:rPr>
        <w:t>250</w:t>
      </w:r>
      <w:r w:rsidRPr="008E5178">
        <w:rPr>
          <w:rFonts w:ascii="Times New Roman" w:hAnsi="Times New Roman" w:cs="Times New Roman"/>
          <w:sz w:val="24"/>
          <w:szCs w:val="24"/>
          <w:lang w:val="sah-RU"/>
        </w:rPr>
        <w:t xml:space="preserve"> экз/га.</w:t>
      </w:r>
    </w:p>
    <w:p w:rsidR="00EA28B6" w:rsidRPr="001A34F7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1A34F7">
        <w:rPr>
          <w:rFonts w:ascii="Times New Roman" w:hAnsi="Times New Roman" w:cs="Times New Roman"/>
          <w:sz w:val="24"/>
          <w:szCs w:val="24"/>
          <w:lang w:val="sah-RU"/>
        </w:rPr>
        <w:t>В третий год процентное соотношение произрастания на данной гари по средним данным следующее: голубика – 8</w:t>
      </w:r>
      <w:r w:rsidRPr="001A34F7">
        <w:rPr>
          <w:rFonts w:ascii="Times New Roman" w:hAnsi="Times New Roman" w:cs="Times New Roman"/>
          <w:sz w:val="24"/>
          <w:szCs w:val="24"/>
        </w:rPr>
        <w:t>9,4</w:t>
      </w:r>
      <w:r w:rsidRPr="001A34F7">
        <w:rPr>
          <w:rFonts w:ascii="Times New Roman" w:hAnsi="Times New Roman" w:cs="Times New Roman"/>
          <w:sz w:val="24"/>
          <w:szCs w:val="24"/>
          <w:lang w:val="sah-RU"/>
        </w:rPr>
        <w:t xml:space="preserve">%, береза плосколистная – </w:t>
      </w:r>
      <w:r w:rsidRPr="001A34F7">
        <w:rPr>
          <w:rFonts w:ascii="Times New Roman" w:hAnsi="Times New Roman" w:cs="Times New Roman"/>
          <w:sz w:val="24"/>
          <w:szCs w:val="24"/>
        </w:rPr>
        <w:t>8,6</w:t>
      </w:r>
      <w:r w:rsidRPr="001A34F7">
        <w:rPr>
          <w:rFonts w:ascii="Times New Roman" w:hAnsi="Times New Roman" w:cs="Times New Roman"/>
          <w:sz w:val="24"/>
          <w:szCs w:val="24"/>
          <w:lang w:val="sah-RU"/>
        </w:rPr>
        <w:t xml:space="preserve"> %, лиственница даурская – </w:t>
      </w:r>
      <w:r w:rsidRPr="001A34F7">
        <w:rPr>
          <w:rFonts w:ascii="Times New Roman" w:hAnsi="Times New Roman" w:cs="Times New Roman"/>
          <w:sz w:val="24"/>
          <w:szCs w:val="24"/>
        </w:rPr>
        <w:t>1,9</w:t>
      </w:r>
      <w:r w:rsidRPr="001A34F7">
        <w:rPr>
          <w:rFonts w:ascii="Times New Roman" w:hAnsi="Times New Roman" w:cs="Times New Roman"/>
          <w:sz w:val="24"/>
          <w:szCs w:val="24"/>
          <w:lang w:val="sah-RU"/>
        </w:rPr>
        <w:t>%. На площадке в среднем зафиксировано 9,</w:t>
      </w:r>
      <w:r w:rsidRPr="001A34F7">
        <w:rPr>
          <w:rFonts w:ascii="Times New Roman" w:hAnsi="Times New Roman" w:cs="Times New Roman"/>
          <w:sz w:val="24"/>
          <w:szCs w:val="24"/>
        </w:rPr>
        <w:t>3</w:t>
      </w:r>
      <w:r w:rsidRPr="001A34F7">
        <w:rPr>
          <w:rFonts w:ascii="Times New Roman" w:hAnsi="Times New Roman" w:cs="Times New Roman"/>
          <w:sz w:val="24"/>
          <w:szCs w:val="24"/>
          <w:lang w:val="sah-RU"/>
        </w:rPr>
        <w:t xml:space="preserve"> экз. голубики, 0,</w:t>
      </w:r>
      <w:r w:rsidRPr="001A34F7">
        <w:rPr>
          <w:rFonts w:ascii="Times New Roman" w:hAnsi="Times New Roman" w:cs="Times New Roman"/>
          <w:sz w:val="24"/>
          <w:szCs w:val="24"/>
        </w:rPr>
        <w:t>9</w:t>
      </w:r>
      <w:r w:rsidRPr="001A34F7">
        <w:rPr>
          <w:rFonts w:ascii="Times New Roman" w:hAnsi="Times New Roman" w:cs="Times New Roman"/>
          <w:sz w:val="24"/>
          <w:szCs w:val="24"/>
          <w:lang w:val="sah-RU"/>
        </w:rPr>
        <w:t xml:space="preserve"> экз. березы плосколистной и 0,</w:t>
      </w:r>
      <w:r w:rsidRPr="001A34F7">
        <w:rPr>
          <w:rFonts w:ascii="Times New Roman" w:hAnsi="Times New Roman" w:cs="Times New Roman"/>
          <w:sz w:val="24"/>
          <w:szCs w:val="24"/>
        </w:rPr>
        <w:t>2</w:t>
      </w:r>
      <w:r w:rsidRPr="001A34F7">
        <w:rPr>
          <w:rFonts w:ascii="Times New Roman" w:hAnsi="Times New Roman" w:cs="Times New Roman"/>
          <w:sz w:val="24"/>
          <w:szCs w:val="24"/>
          <w:lang w:val="sah-RU"/>
        </w:rPr>
        <w:t xml:space="preserve"> экз. лиственницы даурской. </w:t>
      </w:r>
      <w:r w:rsidRPr="001A34F7">
        <w:rPr>
          <w:rFonts w:ascii="Times New Roman" w:hAnsi="Times New Roman" w:cs="Times New Roman"/>
          <w:sz w:val="24"/>
          <w:szCs w:val="24"/>
        </w:rPr>
        <w:t>В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3</w:t>
      </w:r>
      <w:r w:rsidRPr="001A3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-летней гари количество 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возобновляемого подроста голубики </w:t>
      </w:r>
      <w:r w:rsidRPr="001A34F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достига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ло</w:t>
      </w:r>
      <w:r w:rsidRPr="001A34F7">
        <w:rPr>
          <w:rFonts w:ascii="Times New Roman" w:eastAsia="Times New Roman" w:hAnsi="Times New Roman" w:cs="Times New Roman"/>
          <w:sz w:val="24"/>
          <w:szCs w:val="24"/>
          <w:lang w:eastAsia="ru-RU"/>
        </w:rPr>
        <w:t>23250 экз/га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, березы – 225</w:t>
      </w:r>
      <w:r w:rsidRPr="001A34F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экз/га, лиственницы - 5</w:t>
      </w:r>
      <w:r w:rsidRPr="001A34F7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экз/га.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На контрольном участке возобновление подроста березы плосколистной  составляло от 3 до 10 штук, в среднем 8,7 штук, голубики – от 3 до 11, в среднем 7,5. При пересчете на 1 га это составило: береза – 21750 экз/га, голубика – 18750 экз/га. В процентном соотношении это выглядит таким образом: береза – 53,7 %, голубика – 46,3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lastRenderedPageBreak/>
        <w:t>%.Как видим, возобновление березы больше на контрольном участке в 29 раз и голубики – на 32%.</w:t>
      </w:r>
    </w:p>
    <w:p w:rsidR="00EA28B6" w:rsidRPr="008E5178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на контрольном участке при последующем мониторинге возобновления также превалируют в сторону улучшения.</w:t>
      </w:r>
      <w:r w:rsidRPr="008E5178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Во второй год на контрольном участке возобновление подроста лиственницы составляло в среднем </w:t>
      </w:r>
      <w:r w:rsidRPr="008E517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8E5178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,5 шт., березы плосколистной в среднем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E5178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,5 шт., голубики в среднем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E5178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,3 шт. В пересчете на 1 га это составило: лиственница –1250 экз/га, береза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23750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экз/га, голубика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8E5178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750 экз/га. В процентном соотношении это выглядит таким образом: лиственница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2,7</w:t>
      </w:r>
      <w:r w:rsidRPr="008E5178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%, береза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52</w:t>
      </w:r>
      <w:r w:rsidRPr="008E5178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%, голубика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45,3</w:t>
      </w:r>
      <w:r w:rsidRPr="008E5178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%.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В третий год на контрольном участке возобновление подроста лиственницы составляло в среднем </w:t>
      </w:r>
      <w:r w:rsidRPr="001A34F7">
        <w:rPr>
          <w:rFonts w:ascii="Times New Roman" w:eastAsia="Times New Roman" w:hAnsi="Times New Roman" w:cs="Times New Roman"/>
          <w:sz w:val="24"/>
          <w:szCs w:val="24"/>
          <w:lang w:eastAsia="ru-RU"/>
        </w:rPr>
        <w:t>0,6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шт., березы плосколистной в среднем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,</w:t>
      </w:r>
      <w:r w:rsidRPr="001A34F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шт., голубики в среднем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,</w:t>
      </w:r>
      <w:r w:rsidRPr="001A34F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шт. При пересчете на 1 га это составило: лиственница – </w:t>
      </w:r>
      <w:r w:rsidRPr="001A34F7">
        <w:rPr>
          <w:rFonts w:ascii="Times New Roman" w:eastAsia="Times New Roman" w:hAnsi="Times New Roman" w:cs="Times New Roman"/>
          <w:sz w:val="24"/>
          <w:szCs w:val="24"/>
          <w:lang w:eastAsia="ru-RU"/>
        </w:rPr>
        <w:t>1500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экз/га, береза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257</w:t>
      </w:r>
      <w:r w:rsidRPr="001A34F7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экз/га, голубика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1A34F7">
        <w:rPr>
          <w:rFonts w:ascii="Times New Roman" w:eastAsia="Times New Roman" w:hAnsi="Times New Roman" w:cs="Times New Roman"/>
          <w:sz w:val="24"/>
          <w:szCs w:val="24"/>
          <w:lang w:eastAsia="ru-RU"/>
        </w:rPr>
        <w:t>750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экз/га. В процентном соотношении это выглядит таким образом: лиственница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2,9%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, береза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49,5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%, голубика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47,6</w:t>
      </w:r>
      <w:r w:rsidRPr="001A34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%.</w:t>
      </w:r>
    </w:p>
    <w:p w:rsidR="00EA28B6" w:rsidRPr="001734CF" w:rsidRDefault="00EA28B6" w:rsidP="00EA28B6">
      <w:pPr>
        <w:jc w:val="right"/>
        <w:rPr>
          <w:rFonts w:ascii="Times New Roman" w:hAnsi="Times New Roman" w:cs="Times New Roman"/>
          <w:sz w:val="24"/>
          <w:szCs w:val="24"/>
          <w:lang w:val="sah-RU"/>
        </w:rPr>
      </w:pPr>
      <w:r w:rsidRPr="001734CF">
        <w:rPr>
          <w:rFonts w:ascii="Times New Roman" w:hAnsi="Times New Roman" w:cs="Times New Roman"/>
          <w:sz w:val="24"/>
          <w:szCs w:val="24"/>
          <w:lang w:val="sah-RU"/>
        </w:rPr>
        <w:t>Таблица 1</w:t>
      </w:r>
    </w:p>
    <w:p w:rsidR="00EA28B6" w:rsidRPr="008E5178" w:rsidRDefault="00EA28B6" w:rsidP="00EA28B6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2C6">
        <w:rPr>
          <w:rFonts w:ascii="Times New Roman" w:hAnsi="Times New Roman" w:cs="Times New Roman"/>
          <w:b/>
          <w:sz w:val="24"/>
          <w:szCs w:val="24"/>
          <w:lang w:val="sah-RU"/>
        </w:rPr>
        <w:t xml:space="preserve">Возобновление лесного полога после пожара </w:t>
      </w:r>
      <w:r>
        <w:rPr>
          <w:rFonts w:ascii="Times New Roman" w:hAnsi="Times New Roman" w:cs="Times New Roman"/>
          <w:b/>
          <w:sz w:val="24"/>
          <w:szCs w:val="24"/>
          <w:lang w:val="sah-RU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трех</w:t>
      </w:r>
      <w:r>
        <w:rPr>
          <w:rFonts w:ascii="Times New Roman" w:hAnsi="Times New Roman" w:cs="Times New Roman"/>
          <w:b/>
          <w:sz w:val="24"/>
          <w:szCs w:val="24"/>
          <w:lang w:val="sah-RU"/>
        </w:rPr>
        <w:t>летних гарях</w:t>
      </w:r>
    </w:p>
    <w:p w:rsidR="00EA28B6" w:rsidRPr="00BF4737" w:rsidRDefault="00EA28B6" w:rsidP="00EA28B6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(экз./ 4 м²)</w:t>
      </w:r>
    </w:p>
    <w:tbl>
      <w:tblPr>
        <w:tblStyle w:val="a5"/>
        <w:tblW w:w="0" w:type="auto"/>
        <w:jc w:val="center"/>
        <w:tblLayout w:type="fixed"/>
        <w:tblLook w:val="04A0"/>
      </w:tblPr>
      <w:tblGrid>
        <w:gridCol w:w="638"/>
        <w:gridCol w:w="967"/>
        <w:gridCol w:w="1332"/>
        <w:gridCol w:w="966"/>
        <w:gridCol w:w="1332"/>
        <w:gridCol w:w="969"/>
        <w:gridCol w:w="957"/>
        <w:gridCol w:w="966"/>
        <w:gridCol w:w="1444"/>
      </w:tblGrid>
      <w:tr w:rsidR="00EA28B6" w:rsidRPr="002303DE" w:rsidTr="00434E46">
        <w:trPr>
          <w:trHeight w:val="60"/>
          <w:jc w:val="center"/>
        </w:trPr>
        <w:tc>
          <w:tcPr>
            <w:tcW w:w="638" w:type="dxa"/>
            <w:vMerge w:val="restart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№</w:t>
            </w:r>
          </w:p>
        </w:tc>
        <w:tc>
          <w:tcPr>
            <w:tcW w:w="6523" w:type="dxa"/>
            <w:gridSpan w:val="6"/>
          </w:tcPr>
          <w:p w:rsidR="00EA28B6" w:rsidRPr="002303DE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–летняя гарь на северной стороне пос. Чагда</w:t>
            </w:r>
          </w:p>
          <w:p w:rsidR="00EA28B6" w:rsidRPr="002303DE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3DE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М</w:t>
            </w:r>
            <w:r w:rsidRPr="002303D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</w:t>
            </w:r>
          </w:p>
        </w:tc>
        <w:tc>
          <w:tcPr>
            <w:tcW w:w="2410" w:type="dxa"/>
            <w:gridSpan w:val="2"/>
          </w:tcPr>
          <w:p w:rsidR="00EA28B6" w:rsidRPr="002303DE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 xml:space="preserve"> –летняя гарь на южной стороне пос. Чагда</w:t>
            </w:r>
          </w:p>
          <w:p w:rsidR="00EA28B6" w:rsidRPr="002303DE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М</w:t>
            </w:r>
            <w:r w:rsidRPr="002303DE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</w:t>
            </w:r>
          </w:p>
        </w:tc>
      </w:tr>
      <w:tr w:rsidR="00EA28B6" w:rsidRPr="002303DE" w:rsidTr="00434E46">
        <w:trPr>
          <w:jc w:val="center"/>
        </w:trPr>
        <w:tc>
          <w:tcPr>
            <w:tcW w:w="638" w:type="dxa"/>
            <w:vMerge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</w:p>
        </w:tc>
        <w:tc>
          <w:tcPr>
            <w:tcW w:w="2299" w:type="dxa"/>
            <w:gridSpan w:val="2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Голубика обыкновенная</w:t>
            </w:r>
          </w:p>
        </w:tc>
        <w:tc>
          <w:tcPr>
            <w:tcW w:w="2298" w:type="dxa"/>
            <w:gridSpan w:val="2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Береза плосколистная</w:t>
            </w:r>
          </w:p>
        </w:tc>
        <w:tc>
          <w:tcPr>
            <w:tcW w:w="1926" w:type="dxa"/>
            <w:gridSpan w:val="2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</w:rPr>
              <w:t>Лиственница даурская</w:t>
            </w:r>
          </w:p>
        </w:tc>
        <w:tc>
          <w:tcPr>
            <w:tcW w:w="2410" w:type="dxa"/>
            <w:gridSpan w:val="2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Береза плосколистная</w:t>
            </w:r>
          </w:p>
        </w:tc>
      </w:tr>
      <w:tr w:rsidR="00EA28B6" w:rsidRPr="002303DE" w:rsidTr="00434E46">
        <w:trPr>
          <w:jc w:val="center"/>
        </w:trPr>
        <w:tc>
          <w:tcPr>
            <w:tcW w:w="638" w:type="dxa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</w:p>
        </w:tc>
        <w:tc>
          <w:tcPr>
            <w:tcW w:w="967" w:type="dxa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</w:rPr>
              <w:t>Гарь</w:t>
            </w:r>
          </w:p>
        </w:tc>
        <w:tc>
          <w:tcPr>
            <w:tcW w:w="1332" w:type="dxa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Контрольный участок</w:t>
            </w:r>
          </w:p>
        </w:tc>
        <w:tc>
          <w:tcPr>
            <w:tcW w:w="966" w:type="dxa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</w:rPr>
              <w:t>Гарь</w:t>
            </w:r>
          </w:p>
        </w:tc>
        <w:tc>
          <w:tcPr>
            <w:tcW w:w="1332" w:type="dxa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Контрольный участок</w:t>
            </w:r>
          </w:p>
        </w:tc>
        <w:tc>
          <w:tcPr>
            <w:tcW w:w="969" w:type="dxa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</w:rPr>
              <w:t>Гарь</w:t>
            </w:r>
          </w:p>
        </w:tc>
        <w:tc>
          <w:tcPr>
            <w:tcW w:w="957" w:type="dxa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</w:rPr>
              <w:t>Контрольный участок</w:t>
            </w:r>
          </w:p>
        </w:tc>
        <w:tc>
          <w:tcPr>
            <w:tcW w:w="966" w:type="dxa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</w:rPr>
              <w:t>Гарь</w:t>
            </w:r>
          </w:p>
        </w:tc>
        <w:tc>
          <w:tcPr>
            <w:tcW w:w="1444" w:type="dxa"/>
          </w:tcPr>
          <w:p w:rsidR="00EA28B6" w:rsidRPr="002303DE" w:rsidRDefault="00EA28B6" w:rsidP="00434E46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Контрольный участок</w:t>
            </w:r>
          </w:p>
        </w:tc>
      </w:tr>
      <w:tr w:rsidR="00EA28B6" w:rsidRPr="002303DE" w:rsidTr="00434E46">
        <w:trPr>
          <w:jc w:val="center"/>
        </w:trPr>
        <w:tc>
          <w:tcPr>
            <w:tcW w:w="638" w:type="dxa"/>
          </w:tcPr>
          <w:p w:rsidR="00EA28B6" w:rsidRPr="002303DE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967" w:type="dxa"/>
          </w:tcPr>
          <w:p w:rsidR="00EA28B6" w:rsidRPr="002303DE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5,1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2</w:t>
            </w:r>
          </w:p>
        </w:tc>
        <w:tc>
          <w:tcPr>
            <w:tcW w:w="1332" w:type="dxa"/>
          </w:tcPr>
          <w:p w:rsidR="00EA28B6" w:rsidRPr="002303DE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7,5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</w:t>
            </w:r>
          </w:p>
        </w:tc>
        <w:tc>
          <w:tcPr>
            <w:tcW w:w="966" w:type="dxa"/>
          </w:tcPr>
          <w:p w:rsidR="00EA28B6" w:rsidRPr="002303DE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0,3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6</w:t>
            </w:r>
          </w:p>
        </w:tc>
        <w:tc>
          <w:tcPr>
            <w:tcW w:w="1332" w:type="dxa"/>
          </w:tcPr>
          <w:p w:rsidR="00EA28B6" w:rsidRPr="002303DE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8,7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8</w:t>
            </w:r>
          </w:p>
        </w:tc>
        <w:tc>
          <w:tcPr>
            <w:tcW w:w="969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7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66" w:type="dxa"/>
          </w:tcPr>
          <w:p w:rsidR="00EA28B6" w:rsidRPr="002303DE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4,4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8</w:t>
            </w:r>
          </w:p>
        </w:tc>
        <w:tc>
          <w:tcPr>
            <w:tcW w:w="1444" w:type="dxa"/>
          </w:tcPr>
          <w:p w:rsidR="00EA28B6" w:rsidRPr="002303DE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15,4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0,85</w:t>
            </w:r>
          </w:p>
        </w:tc>
      </w:tr>
      <w:tr w:rsidR="00EA28B6" w:rsidRPr="002303DE" w:rsidTr="00434E46">
        <w:trPr>
          <w:jc w:val="center"/>
        </w:trPr>
        <w:tc>
          <w:tcPr>
            <w:tcW w:w="638" w:type="dxa"/>
          </w:tcPr>
          <w:p w:rsidR="00EA28B6" w:rsidRPr="002303DE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967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332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66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332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69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957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66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444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EA28B6" w:rsidRPr="002303DE" w:rsidTr="00434E46">
        <w:trPr>
          <w:jc w:val="center"/>
        </w:trPr>
        <w:tc>
          <w:tcPr>
            <w:tcW w:w="638" w:type="dxa"/>
          </w:tcPr>
          <w:p w:rsidR="00EA28B6" w:rsidRPr="002303DE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3DE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967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332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66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332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69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957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66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444" w:type="dxa"/>
          </w:tcPr>
          <w:p w:rsidR="00EA28B6" w:rsidRPr="009B74E5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u w:val="single"/>
                <w:lang w:val="sah-RU"/>
              </w:rPr>
              <w:t>+</w:t>
            </w:r>
            <w:r w:rsidRPr="002303DE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</w:tr>
    </w:tbl>
    <w:p w:rsidR="00EA28B6" w:rsidRDefault="00EA28B6" w:rsidP="00EA28B6">
      <w:pPr>
        <w:rPr>
          <w:rFonts w:ascii="Times New Roman" w:hAnsi="Times New Roman" w:cs="Times New Roman"/>
          <w:sz w:val="24"/>
          <w:szCs w:val="24"/>
          <w:lang w:val="sah-RU"/>
        </w:rPr>
      </w:pPr>
    </w:p>
    <w:p w:rsidR="00EA28B6" w:rsidRDefault="00EA28B6" w:rsidP="00EA28B6">
      <w:pPr>
        <w:ind w:firstLine="0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EA41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3074" cy="4442527"/>
            <wp:effectExtent l="19050" t="0" r="24276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A28B6" w:rsidRPr="002303DE" w:rsidRDefault="00EA28B6" w:rsidP="00EA2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Рис. 1. Количество возобновления на трехлетних гарях (экз/4 м²)</w:t>
      </w:r>
      <w:r>
        <w:rPr>
          <w:rFonts w:ascii="Times New Roman" w:hAnsi="Times New Roman" w:cs="Times New Roman"/>
          <w:sz w:val="24"/>
          <w:szCs w:val="24"/>
        </w:rPr>
        <w:t xml:space="preserve"> (2015-2017 гг.)</w:t>
      </w:r>
    </w:p>
    <w:p w:rsidR="00EA28B6" w:rsidRPr="003F2B5E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A28B6" w:rsidRDefault="00EA28B6" w:rsidP="00EA28B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2B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Возобновление пятилетней гари на северной стороне пос. Чагда</w:t>
      </w:r>
    </w:p>
    <w:p w:rsidR="00EA28B6" w:rsidRPr="003F2B5E" w:rsidRDefault="00EA28B6" w:rsidP="00EA28B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8B6" w:rsidRDefault="00EA28B6" w:rsidP="00EA28B6">
      <w:pPr>
        <w:rPr>
          <w:rFonts w:ascii="Times New Roman" w:hAnsi="Times New Roman" w:cs="Times New Roman"/>
          <w:sz w:val="24"/>
          <w:szCs w:val="24"/>
          <w:lang w:val="sah-RU"/>
        </w:rPr>
      </w:pPr>
      <w:r w:rsidRPr="001734CF">
        <w:rPr>
          <w:rFonts w:ascii="Times New Roman" w:hAnsi="Times New Roman" w:cs="Times New Roman"/>
          <w:sz w:val="24"/>
          <w:szCs w:val="24"/>
          <w:lang w:val="sah-RU"/>
        </w:rPr>
        <w:t>В 2012 году был низовой пожар на одном из нетронутых островков леса.Измерения на этом участке проводились на 10 площадках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в течение </w:t>
      </w:r>
      <w:r>
        <w:rPr>
          <w:rFonts w:ascii="Times New Roman" w:hAnsi="Times New Roman" w:cs="Times New Roman"/>
          <w:sz w:val="24"/>
          <w:szCs w:val="24"/>
        </w:rPr>
        <w:t>пяти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лет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 xml:space="preserve">. Во всех участках после пожара отмечено произрастание голубики. Высота кустиков достигала 25-30 см. Ягоды крупные и много. </w:t>
      </w:r>
    </w:p>
    <w:p w:rsidR="00EA28B6" w:rsidRDefault="00EA28B6" w:rsidP="00EA28B6">
      <w:pPr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В первый год возобновления отмечено произрастание голубики и березы плосколистной. На площадке в среднем зафиксировано 4,8 экз. голубики и 0,2 экз. березы плосколистной (табл. 2).При пересчете на га это составило: голубики - 12000 экз/га, березы плосколистной – 500 экз/га. Процентное соотношение составило 96% и 4% соответственно.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В первый год на контрольном участке возобновление подроста лиственницы составляло в среднем 10,6 шт., березы плосколистной в среднем 2,3 шт., голубики в среднем 5,6 шт. В пересчете на 1 га это составило: лиственница – 26500 экз/га, береза – 5750 экз/га, голубика – 14000 экз/га. В процентном соотношении это выглядит таким образом: лиственница – 57,3%, береза – 12,4 %, голубика – 30,3 %.</w:t>
      </w:r>
    </w:p>
    <w:p w:rsidR="00EA28B6" w:rsidRPr="00373F91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При сравнении возобновления на гари и возобновления полога леса на контрольном участке видим, что на контрольном участке возобновление больше: березы – на 11,5 раз, голубики – на 14,3%. Возобновлени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лиственницы на гари не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мечено, на контрольном присутствует.</w:t>
      </w:r>
    </w:p>
    <w:p w:rsidR="00EA28B6" w:rsidRDefault="00EA28B6" w:rsidP="00EA28B6">
      <w:pPr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Второй год сукцессионных изменений к двум видам добавилась лиственница даурская.  Процентное соотношение произрастания на данной гари по средним данным следующее: голубика – </w:t>
      </w:r>
      <w:r w:rsidRPr="00F51CEE">
        <w:rPr>
          <w:rFonts w:ascii="Times New Roman" w:hAnsi="Times New Roman" w:cs="Times New Roman"/>
          <w:sz w:val="24"/>
          <w:szCs w:val="24"/>
        </w:rPr>
        <w:t>91</w:t>
      </w:r>
      <w:r>
        <w:rPr>
          <w:rFonts w:ascii="Times New Roman" w:hAnsi="Times New Roman" w:cs="Times New Roman"/>
          <w:sz w:val="24"/>
          <w:szCs w:val="24"/>
          <w:lang w:val="sah-RU"/>
        </w:rPr>
        <w:t>,</w:t>
      </w:r>
      <w:r w:rsidRPr="00F51CE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sah-RU"/>
        </w:rPr>
        <w:t>%, береза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 xml:space="preserve"> плосколистн</w:t>
      </w:r>
      <w:r>
        <w:rPr>
          <w:rFonts w:ascii="Times New Roman" w:hAnsi="Times New Roman" w:cs="Times New Roman"/>
          <w:sz w:val="24"/>
          <w:szCs w:val="24"/>
          <w:lang w:val="sah-RU"/>
        </w:rPr>
        <w:t>ая– 6,1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 xml:space="preserve"> %, лиственниц</w:t>
      </w:r>
      <w:r>
        <w:rPr>
          <w:rFonts w:ascii="Times New Roman" w:hAnsi="Times New Roman" w:cs="Times New Roman"/>
          <w:sz w:val="24"/>
          <w:szCs w:val="24"/>
          <w:lang w:val="sah-RU"/>
        </w:rPr>
        <w:t>а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 xml:space="preserve"> даурск</w:t>
      </w:r>
      <w:r>
        <w:rPr>
          <w:rFonts w:ascii="Times New Roman" w:hAnsi="Times New Roman" w:cs="Times New Roman"/>
          <w:sz w:val="24"/>
          <w:szCs w:val="24"/>
          <w:lang w:val="sah-RU"/>
        </w:rPr>
        <w:t>ая– 2,4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>%.</w:t>
      </w:r>
      <w:r>
        <w:rPr>
          <w:rFonts w:ascii="Times New Roman" w:hAnsi="Times New Roman" w:cs="Times New Roman"/>
          <w:sz w:val="24"/>
          <w:szCs w:val="24"/>
          <w:lang w:val="sah-RU"/>
        </w:rPr>
        <w:t>На площадке в среднем зафиксировано 7,5 экз. голубики, 0,5 экз. березы плосколистной и 0,2 экз. лиственницы даурской. Путем экстрапо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  <w:lang w:val="sah-RU"/>
        </w:rPr>
        <w:t>яции подсчитали количество экземпляров на 1 га гари. В 2-летней гари количество возобновляемого подроста голубики составило 18750 экз/га, березы плосколистной – 1250 экз/га, лиственницы даурской – 500 экз/га.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Во второй год на контрольном участке возобновление подроста лиственницы составляло в среднем 12,5 шт., березы плосколистной в среднем 1,5 шт., голубики в среднем 4,3 шт. В пересчете на 1 га это составило: лиственница – 31250 экз/га, береза – 3750 экз/га, голубика – 10750 экз/га. В процентном соотношении это выглядит таким образом: лиственница – 68,3%, береза – 8,2 %, голубика – 23,5 %.</w:t>
      </w:r>
    </w:p>
    <w:p w:rsidR="00EA28B6" w:rsidRPr="00373F91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lastRenderedPageBreak/>
        <w:t>Сравнение возобновления на гари и на контрольном участке показало, что лиственницы на гари возобновлется меньше в 62,5 раз, береза – в 3 раза. А голубика, наоборот, больше встречается в гари - на 42,7%.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В третий год процентное соотношение произрастания на данной гари по средним данным следующее: голубика – 86,8%, береза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 xml:space="preserve"> плосколистн</w:t>
      </w:r>
      <w:r>
        <w:rPr>
          <w:rFonts w:ascii="Times New Roman" w:hAnsi="Times New Roman" w:cs="Times New Roman"/>
          <w:sz w:val="24"/>
          <w:szCs w:val="24"/>
          <w:lang w:val="sah-RU"/>
        </w:rPr>
        <w:t>ая– 7,9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 xml:space="preserve"> %, лиственниц</w:t>
      </w:r>
      <w:r>
        <w:rPr>
          <w:rFonts w:ascii="Times New Roman" w:hAnsi="Times New Roman" w:cs="Times New Roman"/>
          <w:sz w:val="24"/>
          <w:szCs w:val="24"/>
          <w:lang w:val="sah-RU"/>
        </w:rPr>
        <w:t>а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 xml:space="preserve"> даурск</w:t>
      </w:r>
      <w:r>
        <w:rPr>
          <w:rFonts w:ascii="Times New Roman" w:hAnsi="Times New Roman" w:cs="Times New Roman"/>
          <w:sz w:val="24"/>
          <w:szCs w:val="24"/>
          <w:lang w:val="sah-RU"/>
        </w:rPr>
        <w:t>ая– 5,3</w:t>
      </w:r>
      <w:r w:rsidRPr="001734CF">
        <w:rPr>
          <w:rFonts w:ascii="Times New Roman" w:hAnsi="Times New Roman" w:cs="Times New Roman"/>
          <w:sz w:val="24"/>
          <w:szCs w:val="24"/>
          <w:lang w:val="sah-RU"/>
        </w:rPr>
        <w:t>%.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На площадке в среднем зафиксировано 9,9 экз. голубики, 0,9 экз. березы плосколистной и 0,6 экз. лиственницы даурской.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3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-летней гари количество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возобновляемого подроста голубики 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достига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ло2475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0экз/га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, березы –225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экз/га, лиственницы - 15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экз/га.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В третий год на контрольном участке возобновление подроста лиственницы составляло в среднем 11,3 шт., березы плосколистной в среднем 4,5 шт., голубики в среднем 6,3 шт. При пересчете на 1 га это составило: лиственница – 28250 экз/га, береза – 11250 экз/га, голубика – 15750 экз/га. В процентном соотношении это выглядит таким образом: лиственница – 51,1%, береза – 20,4 %, голубика – 28,5 %.</w:t>
      </w:r>
    </w:p>
    <w:p w:rsidR="00EA28B6" w:rsidRPr="000436F7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Сравнительный анализ показал, что также как и в 2014 году возобновление лиственницы ( в 18,8 раз) и березы (в 5 раз) больше на контрольном участке, а голубики на </w:t>
      </w:r>
      <w:r w:rsidRPr="000436F7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гари (на 36,4 %).</w:t>
      </w:r>
    </w:p>
    <w:p w:rsidR="00EA28B6" w:rsidRPr="000436F7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6F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четвертый год (2016 г.) возобновления гари также отмечается постепенное увеличение количества подрастающих деревьев и кустарничков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(табл. 2) в исследуемом и на контрольном участках</w:t>
      </w:r>
      <w:r w:rsidRPr="000436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Возобновление березы на контрольном участке совсем незначительное, зато количество голубики увеличилось сильно. На</w:t>
      </w:r>
      <w:r w:rsidRPr="00043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пятый год (2017 г.)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гарях количество деревьев увеличилось, а голубика осталась на том же уровне. Особенно заметно увеличилось количество лиственницы даурской. На контрольном участке запасы всех трех видов подроста  остались неизменными. </w:t>
      </w:r>
    </w:p>
    <w:p w:rsidR="00EA28B6" w:rsidRPr="001734CF" w:rsidRDefault="00EA28B6" w:rsidP="00EA28B6">
      <w:pPr>
        <w:jc w:val="right"/>
        <w:rPr>
          <w:rFonts w:ascii="Times New Roman" w:hAnsi="Times New Roman" w:cs="Times New Roman"/>
          <w:sz w:val="24"/>
          <w:szCs w:val="24"/>
          <w:lang w:val="sah-RU"/>
        </w:rPr>
      </w:pPr>
      <w:r w:rsidRPr="001734CF">
        <w:rPr>
          <w:rFonts w:ascii="Times New Roman" w:hAnsi="Times New Roman" w:cs="Times New Roman"/>
          <w:sz w:val="24"/>
          <w:szCs w:val="24"/>
          <w:lang w:val="sah-RU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  <w:lang w:val="sah-RU"/>
        </w:rPr>
        <w:t>2</w:t>
      </w:r>
    </w:p>
    <w:p w:rsidR="00EA28B6" w:rsidRDefault="00EA28B6" w:rsidP="00EA28B6">
      <w:pPr>
        <w:ind w:firstLine="0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b/>
          <w:sz w:val="24"/>
          <w:szCs w:val="24"/>
          <w:lang w:val="sah-RU"/>
        </w:rPr>
        <w:t>Динамика в</w:t>
      </w:r>
      <w:r w:rsidRPr="003B52C6">
        <w:rPr>
          <w:rFonts w:ascii="Times New Roman" w:hAnsi="Times New Roman" w:cs="Times New Roman"/>
          <w:b/>
          <w:sz w:val="24"/>
          <w:szCs w:val="24"/>
          <w:lang w:val="sah-RU"/>
        </w:rPr>
        <w:t>озобновлени</w:t>
      </w:r>
      <w:r>
        <w:rPr>
          <w:rFonts w:ascii="Times New Roman" w:hAnsi="Times New Roman" w:cs="Times New Roman"/>
          <w:b/>
          <w:sz w:val="24"/>
          <w:szCs w:val="24"/>
          <w:lang w:val="sah-RU"/>
        </w:rPr>
        <w:t>я</w:t>
      </w:r>
      <w:r w:rsidRPr="003B52C6">
        <w:rPr>
          <w:rFonts w:ascii="Times New Roman" w:hAnsi="Times New Roman" w:cs="Times New Roman"/>
          <w:b/>
          <w:sz w:val="24"/>
          <w:szCs w:val="24"/>
          <w:lang w:val="sah-RU"/>
        </w:rPr>
        <w:t xml:space="preserve"> лесного полога после пожара </w:t>
      </w:r>
      <w:r>
        <w:rPr>
          <w:rFonts w:ascii="Times New Roman" w:hAnsi="Times New Roman" w:cs="Times New Roman"/>
          <w:b/>
          <w:sz w:val="24"/>
          <w:szCs w:val="24"/>
          <w:lang w:val="sah-RU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пяти</w:t>
      </w:r>
      <w:r>
        <w:rPr>
          <w:rFonts w:ascii="Times New Roman" w:hAnsi="Times New Roman" w:cs="Times New Roman"/>
          <w:b/>
          <w:sz w:val="24"/>
          <w:szCs w:val="24"/>
          <w:lang w:val="sah-RU"/>
        </w:rPr>
        <w:t>летней гари на северной стороне пос. Чагда</w:t>
      </w:r>
    </w:p>
    <w:tbl>
      <w:tblPr>
        <w:tblStyle w:val="a5"/>
        <w:tblW w:w="10031" w:type="dxa"/>
        <w:tblLayout w:type="fixed"/>
        <w:tblLook w:val="04A0"/>
      </w:tblPr>
      <w:tblGrid>
        <w:gridCol w:w="1242"/>
        <w:gridCol w:w="1276"/>
        <w:gridCol w:w="851"/>
        <w:gridCol w:w="708"/>
        <w:gridCol w:w="851"/>
        <w:gridCol w:w="709"/>
        <w:gridCol w:w="850"/>
        <w:gridCol w:w="567"/>
        <w:gridCol w:w="851"/>
        <w:gridCol w:w="708"/>
        <w:gridCol w:w="851"/>
        <w:gridCol w:w="567"/>
      </w:tblGrid>
      <w:tr w:rsidR="00EA28B6" w:rsidRPr="002303DE" w:rsidTr="00434E46">
        <w:tc>
          <w:tcPr>
            <w:tcW w:w="1242" w:type="dxa"/>
            <w:vMerge w:val="restart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Вид</w:t>
            </w:r>
          </w:p>
        </w:tc>
        <w:tc>
          <w:tcPr>
            <w:tcW w:w="1276" w:type="dxa"/>
            <w:vMerge w:val="restart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Участок</w:t>
            </w:r>
          </w:p>
        </w:tc>
        <w:tc>
          <w:tcPr>
            <w:tcW w:w="1559" w:type="dxa"/>
            <w:gridSpan w:val="2"/>
          </w:tcPr>
          <w:p w:rsidR="00EA28B6" w:rsidRPr="007E71BB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2013 год</w:t>
            </w:r>
          </w:p>
        </w:tc>
        <w:tc>
          <w:tcPr>
            <w:tcW w:w="1560" w:type="dxa"/>
            <w:gridSpan w:val="2"/>
          </w:tcPr>
          <w:p w:rsidR="00EA28B6" w:rsidRPr="007E71BB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2014 год</w:t>
            </w:r>
          </w:p>
        </w:tc>
        <w:tc>
          <w:tcPr>
            <w:tcW w:w="1417" w:type="dxa"/>
            <w:gridSpan w:val="2"/>
          </w:tcPr>
          <w:p w:rsidR="00EA28B6" w:rsidRPr="007E71BB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2015 год</w:t>
            </w:r>
          </w:p>
        </w:tc>
        <w:tc>
          <w:tcPr>
            <w:tcW w:w="1559" w:type="dxa"/>
            <w:gridSpan w:val="2"/>
          </w:tcPr>
          <w:p w:rsidR="00EA28B6" w:rsidRPr="007E71BB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</w:rPr>
              <w:t>2016 год</w:t>
            </w:r>
          </w:p>
        </w:tc>
        <w:tc>
          <w:tcPr>
            <w:tcW w:w="1418" w:type="dxa"/>
            <w:gridSpan w:val="2"/>
          </w:tcPr>
          <w:p w:rsidR="00EA28B6" w:rsidRPr="007E71BB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</w:rPr>
              <w:t>2017 год</w:t>
            </w:r>
          </w:p>
        </w:tc>
      </w:tr>
      <w:tr w:rsidR="00EA28B6" w:rsidRPr="002303DE" w:rsidTr="00434E46">
        <w:tc>
          <w:tcPr>
            <w:tcW w:w="1242" w:type="dxa"/>
            <w:vMerge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</w:p>
        </w:tc>
        <w:tc>
          <w:tcPr>
            <w:tcW w:w="1276" w:type="dxa"/>
            <w:vMerge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</w:p>
        </w:tc>
        <w:tc>
          <w:tcPr>
            <w:tcW w:w="851" w:type="dxa"/>
          </w:tcPr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экз/4 м²</w:t>
            </w:r>
          </w:p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М</w:t>
            </w:r>
            <w:r w:rsidRPr="00D605E3">
              <w:rPr>
                <w:rFonts w:ascii="Times New Roman" w:hAnsi="Times New Roman" w:cs="Times New Roman"/>
                <w:sz w:val="16"/>
                <w:szCs w:val="16"/>
                <w:u w:val="single"/>
                <w:lang w:val="sah-RU"/>
              </w:rPr>
              <w:t>+</w:t>
            </w:r>
            <w:r w:rsidRPr="00D605E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</w:t>
            </w:r>
          </w:p>
        </w:tc>
        <w:tc>
          <w:tcPr>
            <w:tcW w:w="708" w:type="dxa"/>
          </w:tcPr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экз/га</w:t>
            </w:r>
          </w:p>
        </w:tc>
        <w:tc>
          <w:tcPr>
            <w:tcW w:w="851" w:type="dxa"/>
          </w:tcPr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экз/4 м²</w:t>
            </w:r>
          </w:p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М</w:t>
            </w:r>
            <w:r w:rsidRPr="00D605E3">
              <w:rPr>
                <w:rFonts w:ascii="Times New Roman" w:hAnsi="Times New Roman" w:cs="Times New Roman"/>
                <w:sz w:val="16"/>
                <w:szCs w:val="16"/>
                <w:u w:val="single"/>
                <w:lang w:val="sah-RU"/>
              </w:rPr>
              <w:t>+</w:t>
            </w:r>
            <w:r w:rsidRPr="00D605E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</w:t>
            </w:r>
          </w:p>
        </w:tc>
        <w:tc>
          <w:tcPr>
            <w:tcW w:w="709" w:type="dxa"/>
          </w:tcPr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экз/га</w:t>
            </w:r>
          </w:p>
        </w:tc>
        <w:tc>
          <w:tcPr>
            <w:tcW w:w="850" w:type="dxa"/>
          </w:tcPr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экз/4 м²</w:t>
            </w:r>
          </w:p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М</w:t>
            </w:r>
            <w:r w:rsidRPr="00D605E3">
              <w:rPr>
                <w:rFonts w:ascii="Times New Roman" w:hAnsi="Times New Roman" w:cs="Times New Roman"/>
                <w:sz w:val="16"/>
                <w:szCs w:val="16"/>
                <w:u w:val="single"/>
                <w:lang w:val="sah-RU"/>
              </w:rPr>
              <w:t>+</w:t>
            </w:r>
            <w:r w:rsidRPr="00D605E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</w:t>
            </w:r>
          </w:p>
        </w:tc>
        <w:tc>
          <w:tcPr>
            <w:tcW w:w="567" w:type="dxa"/>
          </w:tcPr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экз/га</w:t>
            </w:r>
          </w:p>
        </w:tc>
        <w:tc>
          <w:tcPr>
            <w:tcW w:w="851" w:type="dxa"/>
          </w:tcPr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экз/4 м²</w:t>
            </w:r>
          </w:p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М</w:t>
            </w:r>
            <w:r w:rsidRPr="00D605E3">
              <w:rPr>
                <w:rFonts w:ascii="Times New Roman" w:hAnsi="Times New Roman" w:cs="Times New Roman"/>
                <w:sz w:val="16"/>
                <w:szCs w:val="16"/>
                <w:u w:val="single"/>
                <w:lang w:val="sah-RU"/>
              </w:rPr>
              <w:t>+</w:t>
            </w:r>
            <w:r w:rsidRPr="00D605E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</w:t>
            </w:r>
          </w:p>
        </w:tc>
        <w:tc>
          <w:tcPr>
            <w:tcW w:w="708" w:type="dxa"/>
          </w:tcPr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экз/га</w:t>
            </w:r>
          </w:p>
        </w:tc>
        <w:tc>
          <w:tcPr>
            <w:tcW w:w="851" w:type="dxa"/>
          </w:tcPr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экз/4 м²</w:t>
            </w:r>
          </w:p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М</w:t>
            </w:r>
            <w:r w:rsidRPr="00D605E3">
              <w:rPr>
                <w:rFonts w:ascii="Times New Roman" w:hAnsi="Times New Roman" w:cs="Times New Roman"/>
                <w:sz w:val="16"/>
                <w:szCs w:val="16"/>
                <w:u w:val="single"/>
                <w:lang w:val="sah-RU"/>
              </w:rPr>
              <w:t>+</w:t>
            </w:r>
            <w:r w:rsidRPr="00D605E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</w:t>
            </w:r>
          </w:p>
        </w:tc>
        <w:tc>
          <w:tcPr>
            <w:tcW w:w="567" w:type="dxa"/>
          </w:tcPr>
          <w:p w:rsidR="00EA28B6" w:rsidRPr="00D605E3" w:rsidRDefault="00EA28B6" w:rsidP="00434E4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D605E3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экз/га</w:t>
            </w:r>
          </w:p>
        </w:tc>
      </w:tr>
      <w:tr w:rsidR="00EA28B6" w:rsidRPr="002303DE" w:rsidTr="00434E46">
        <w:tc>
          <w:tcPr>
            <w:tcW w:w="1242" w:type="dxa"/>
            <w:vMerge w:val="restart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Голубика обыкновенная</w:t>
            </w:r>
          </w:p>
        </w:tc>
        <w:tc>
          <w:tcPr>
            <w:tcW w:w="1276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Гарь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4,8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0,25</w:t>
            </w:r>
          </w:p>
        </w:tc>
        <w:tc>
          <w:tcPr>
            <w:tcW w:w="708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12000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7,5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0,19</w:t>
            </w:r>
          </w:p>
        </w:tc>
        <w:tc>
          <w:tcPr>
            <w:tcW w:w="709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18750</w:t>
            </w:r>
          </w:p>
        </w:tc>
        <w:tc>
          <w:tcPr>
            <w:tcW w:w="850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9,9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0,54</w:t>
            </w:r>
          </w:p>
        </w:tc>
        <w:tc>
          <w:tcPr>
            <w:tcW w:w="567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24750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11,7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0,76</w:t>
            </w:r>
          </w:p>
        </w:tc>
        <w:tc>
          <w:tcPr>
            <w:tcW w:w="708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29250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10,8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0,54</w:t>
            </w:r>
          </w:p>
        </w:tc>
        <w:tc>
          <w:tcPr>
            <w:tcW w:w="567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27000</w:t>
            </w:r>
          </w:p>
        </w:tc>
      </w:tr>
      <w:tr w:rsidR="00EA28B6" w:rsidRPr="002303DE" w:rsidTr="00434E46">
        <w:tc>
          <w:tcPr>
            <w:tcW w:w="1242" w:type="dxa"/>
            <w:vMerge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</w:p>
        </w:tc>
        <w:tc>
          <w:tcPr>
            <w:tcW w:w="1276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Контрольный участок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5,6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0,31</w:t>
            </w:r>
          </w:p>
        </w:tc>
        <w:tc>
          <w:tcPr>
            <w:tcW w:w="708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14000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4,3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0,45</w:t>
            </w:r>
          </w:p>
        </w:tc>
        <w:tc>
          <w:tcPr>
            <w:tcW w:w="709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10750</w:t>
            </w:r>
          </w:p>
        </w:tc>
        <w:tc>
          <w:tcPr>
            <w:tcW w:w="850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6,3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0,50</w:t>
            </w:r>
          </w:p>
        </w:tc>
        <w:tc>
          <w:tcPr>
            <w:tcW w:w="567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15750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10,4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0,65</w:t>
            </w:r>
          </w:p>
        </w:tc>
        <w:tc>
          <w:tcPr>
            <w:tcW w:w="708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26000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10,6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0,45</w:t>
            </w:r>
          </w:p>
        </w:tc>
        <w:tc>
          <w:tcPr>
            <w:tcW w:w="567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26500</w:t>
            </w:r>
          </w:p>
        </w:tc>
      </w:tr>
      <w:tr w:rsidR="00EA28B6" w:rsidRPr="002303DE" w:rsidTr="00434E46">
        <w:tc>
          <w:tcPr>
            <w:tcW w:w="1242" w:type="dxa"/>
            <w:vMerge w:val="restart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Береза плосколистная</w:t>
            </w:r>
          </w:p>
        </w:tc>
        <w:tc>
          <w:tcPr>
            <w:tcW w:w="1276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Гарь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0,2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0,01</w:t>
            </w:r>
          </w:p>
        </w:tc>
        <w:tc>
          <w:tcPr>
            <w:tcW w:w="708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500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0,5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0,03</w:t>
            </w:r>
          </w:p>
        </w:tc>
        <w:tc>
          <w:tcPr>
            <w:tcW w:w="709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1250</w:t>
            </w:r>
          </w:p>
        </w:tc>
        <w:tc>
          <w:tcPr>
            <w:tcW w:w="850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0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,9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0,05</w:t>
            </w:r>
          </w:p>
        </w:tc>
        <w:tc>
          <w:tcPr>
            <w:tcW w:w="567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2250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1,7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0,43</w:t>
            </w:r>
          </w:p>
        </w:tc>
        <w:tc>
          <w:tcPr>
            <w:tcW w:w="708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4250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1,9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0,75</w:t>
            </w:r>
          </w:p>
        </w:tc>
        <w:tc>
          <w:tcPr>
            <w:tcW w:w="567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4750</w:t>
            </w:r>
          </w:p>
        </w:tc>
      </w:tr>
      <w:tr w:rsidR="00EA28B6" w:rsidRPr="002303DE" w:rsidTr="00434E46">
        <w:tc>
          <w:tcPr>
            <w:tcW w:w="1242" w:type="dxa"/>
            <w:vMerge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</w:p>
        </w:tc>
        <w:tc>
          <w:tcPr>
            <w:tcW w:w="1276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Контрольный участок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2,3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0,18</w:t>
            </w:r>
          </w:p>
        </w:tc>
        <w:tc>
          <w:tcPr>
            <w:tcW w:w="708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5750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1,5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0,11</w:t>
            </w:r>
          </w:p>
        </w:tc>
        <w:tc>
          <w:tcPr>
            <w:tcW w:w="709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3750</w:t>
            </w:r>
          </w:p>
        </w:tc>
        <w:tc>
          <w:tcPr>
            <w:tcW w:w="850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4,5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0,33</w:t>
            </w:r>
          </w:p>
        </w:tc>
        <w:tc>
          <w:tcPr>
            <w:tcW w:w="567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11250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4,7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0,91</w:t>
            </w:r>
          </w:p>
        </w:tc>
        <w:tc>
          <w:tcPr>
            <w:tcW w:w="708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11750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4,3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0,62</w:t>
            </w:r>
          </w:p>
        </w:tc>
        <w:tc>
          <w:tcPr>
            <w:tcW w:w="567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10750</w:t>
            </w:r>
          </w:p>
        </w:tc>
      </w:tr>
      <w:tr w:rsidR="00EA28B6" w:rsidRPr="002303DE" w:rsidTr="00434E46">
        <w:tc>
          <w:tcPr>
            <w:tcW w:w="1242" w:type="dxa"/>
            <w:vMerge w:val="restart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Лиственница даурская</w:t>
            </w:r>
          </w:p>
        </w:tc>
        <w:tc>
          <w:tcPr>
            <w:tcW w:w="1276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>Гарь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-</w:t>
            </w:r>
          </w:p>
        </w:tc>
        <w:tc>
          <w:tcPr>
            <w:tcW w:w="708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-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0,2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0,008</w:t>
            </w:r>
          </w:p>
        </w:tc>
        <w:tc>
          <w:tcPr>
            <w:tcW w:w="709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500</w:t>
            </w:r>
          </w:p>
        </w:tc>
        <w:tc>
          <w:tcPr>
            <w:tcW w:w="850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0,6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0,04</w:t>
            </w:r>
          </w:p>
        </w:tc>
        <w:tc>
          <w:tcPr>
            <w:tcW w:w="567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1500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1,6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0,78</w:t>
            </w:r>
          </w:p>
        </w:tc>
        <w:tc>
          <w:tcPr>
            <w:tcW w:w="708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4000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3,5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0,92</w:t>
            </w:r>
          </w:p>
        </w:tc>
        <w:tc>
          <w:tcPr>
            <w:tcW w:w="567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8750</w:t>
            </w:r>
          </w:p>
        </w:tc>
      </w:tr>
      <w:tr w:rsidR="00EA28B6" w:rsidRPr="002303DE" w:rsidTr="00434E46">
        <w:tc>
          <w:tcPr>
            <w:tcW w:w="1242" w:type="dxa"/>
            <w:vMerge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</w:p>
        </w:tc>
        <w:tc>
          <w:tcPr>
            <w:tcW w:w="1276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6"/>
                <w:szCs w:val="16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t xml:space="preserve">Контрольный </w:t>
            </w:r>
            <w:r w:rsidRPr="007E71BB">
              <w:rPr>
                <w:rFonts w:ascii="Times New Roman" w:hAnsi="Times New Roman" w:cs="Times New Roman"/>
                <w:sz w:val="16"/>
                <w:szCs w:val="16"/>
                <w:lang w:val="sah-RU"/>
              </w:rPr>
              <w:lastRenderedPageBreak/>
              <w:t>участок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lastRenderedPageBreak/>
              <w:t>10,6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0,76</w:t>
            </w:r>
          </w:p>
        </w:tc>
        <w:tc>
          <w:tcPr>
            <w:tcW w:w="708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26500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12,5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0,52</w:t>
            </w:r>
          </w:p>
        </w:tc>
        <w:tc>
          <w:tcPr>
            <w:tcW w:w="709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31250</w:t>
            </w:r>
          </w:p>
        </w:tc>
        <w:tc>
          <w:tcPr>
            <w:tcW w:w="850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11,3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  <w:lang w:val="sah-RU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0,59</w:t>
            </w:r>
          </w:p>
        </w:tc>
        <w:tc>
          <w:tcPr>
            <w:tcW w:w="567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  <w:lang w:val="sah-RU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  <w:lang w:val="sah-RU"/>
              </w:rPr>
              <w:t>28250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13,6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0,63</w:t>
            </w:r>
          </w:p>
        </w:tc>
        <w:tc>
          <w:tcPr>
            <w:tcW w:w="708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34000</w:t>
            </w:r>
          </w:p>
        </w:tc>
        <w:tc>
          <w:tcPr>
            <w:tcW w:w="851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13,6</w:t>
            </w:r>
            <w:r w:rsidRPr="007E71BB">
              <w:rPr>
                <w:rFonts w:ascii="Times New Roman" w:hAnsi="Times New Roman" w:cs="Times New Roman"/>
                <w:sz w:val="14"/>
                <w:szCs w:val="14"/>
                <w:u w:val="single"/>
              </w:rPr>
              <w:t>+</w:t>
            </w: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0,34</w:t>
            </w:r>
          </w:p>
        </w:tc>
        <w:tc>
          <w:tcPr>
            <w:tcW w:w="567" w:type="dxa"/>
          </w:tcPr>
          <w:p w:rsidR="00EA28B6" w:rsidRPr="007E71BB" w:rsidRDefault="00EA28B6" w:rsidP="00434E46">
            <w:pPr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7E71BB">
              <w:rPr>
                <w:rFonts w:ascii="Times New Roman" w:hAnsi="Times New Roman" w:cs="Times New Roman"/>
                <w:sz w:val="14"/>
                <w:szCs w:val="14"/>
              </w:rPr>
              <w:t>34000</w:t>
            </w:r>
          </w:p>
        </w:tc>
      </w:tr>
    </w:tbl>
    <w:p w:rsidR="00EA28B6" w:rsidRDefault="00EA28B6" w:rsidP="00EA28B6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EA28B6" w:rsidRDefault="00EA28B6" w:rsidP="00EA28B6">
      <w:pPr>
        <w:ind w:firstLine="0"/>
        <w:rPr>
          <w:rFonts w:ascii="Times New Roman" w:hAnsi="Times New Roman" w:cs="Times New Roman"/>
          <w:sz w:val="24"/>
          <w:szCs w:val="24"/>
        </w:rPr>
      </w:pPr>
      <w:r w:rsidRPr="009C4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8920" cy="4895682"/>
            <wp:effectExtent l="19050" t="0" r="26580" b="168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A28B6" w:rsidRDefault="00EA28B6" w:rsidP="00EA28B6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EA28B6" w:rsidRDefault="00EA28B6" w:rsidP="00EA28B6">
      <w:pPr>
        <w:ind w:firstLine="0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Рис. 2. Динамика возобновления подроста на гари и на контроле в 2013-201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гг. (экз/</w:t>
      </w:r>
      <w:r>
        <w:rPr>
          <w:rFonts w:ascii="Times New Roman" w:hAnsi="Times New Roman" w:cs="Times New Roman"/>
          <w:sz w:val="24"/>
          <w:szCs w:val="24"/>
        </w:rPr>
        <w:t>га</w:t>
      </w:r>
      <w:r>
        <w:rPr>
          <w:rFonts w:ascii="Times New Roman" w:hAnsi="Times New Roman" w:cs="Times New Roman"/>
          <w:sz w:val="24"/>
          <w:szCs w:val="24"/>
          <w:lang w:val="sah-RU"/>
        </w:rPr>
        <w:t>)</w:t>
      </w:r>
    </w:p>
    <w:p w:rsidR="00EA28B6" w:rsidRDefault="00EA28B6" w:rsidP="00EA28B6">
      <w:pPr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br w:type="page"/>
      </w:r>
    </w:p>
    <w:p w:rsidR="00EA28B6" w:rsidRDefault="00EA28B6" w:rsidP="00EA28B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</w:pPr>
      <w:r w:rsidRPr="003B52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Заключение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исследования возобновления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лесного полога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показывают, что в после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пожарных сообществах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возобновление различное и в видовом разнообразии, и в количественном соотношении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На южной стороне окрестностей пос. Чагда в первый год единственный возобновлемый вид на гарях – береза плосколистная, на северной стороне – голубика и береза. Во второй год в гари на северной стороне к возобновляемым видам добавилась лиственница даурская. Ее возобновление протекает медлененнее, чем березы плосколистной.</w:t>
      </w:r>
    </w:p>
    <w:p w:rsidR="00EA28B6" w:rsidRPr="00F6394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Количество березы плосколистной в однолетних гарях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южной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стороне поселка составила 110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экз./га,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северной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-  75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 экз./га, что меньше в 14,7 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через три года эти показатели соответствовали – 18000 экз.\ га и 2250 экз./га, что меньше в 8 раз, то есть разница сократилась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Выявлено, что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летней гари 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первый год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сукцессии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на северной стороне поселка количествоголубики составляла 12000 экз./га, березы - 500экз./га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на третий год голубики - 2475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экз./га, березы - 225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экз./га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лиственницы – 1500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экз./га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пятый год -  голубики – 27000 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экз./га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березы – 4750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экз./га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лиственницы – 8750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экз./га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Количество кустиков  голубики возросли вдвое, а подроста березы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раз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. На второй сукцессионных преобразований добавляется лиственница и на третий год ее подрост увеличивается втрое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пятый в 6 раз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Сравнение с контрольными участками показывает, что возобновление древесных пород в гарях меньше, чем на контрольных участках. А возобновление голубики на гарях второго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третьего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четвертого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года больше, чем на контрольных участках. 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Можно предположить, что на южной стороне пос. Чагда условия благоприятные для произрастания березы плосколистной, а на северной стороне поселка условия хороши для произрастания голубики и лиственницы 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рской. Гари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трех- и четырехлетней давности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благоприятны для произрастания голубики.</w:t>
      </w:r>
    </w:p>
    <w:p w:rsidR="00EA28B6" w:rsidRPr="00B023D3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br w:type="page"/>
      </w:r>
    </w:p>
    <w:p w:rsidR="00EA28B6" w:rsidRDefault="00EA28B6" w:rsidP="00EA28B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</w:pPr>
      <w:r w:rsidRPr="000330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Литература</w:t>
      </w:r>
    </w:p>
    <w:p w:rsidR="00EA28B6" w:rsidRPr="003B52C6" w:rsidRDefault="00EA28B6" w:rsidP="00EA28B6">
      <w:pPr>
        <w:jc w:val="center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Абаимов А.П., Прокушкин С.Г., Зырянова О.А., Каверзина Л.Н. Особенности формирования и функционирования лиственничных лесов на мерзлотных почвах // Лесоведение. 1997. № 5. С. 13-23. 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Исаев А.П., ПротопоповаВ.В., Такахаши К. История лесных пожаров в окрестностях г. Якутска // Проблемы изучения растительного покрова Якутии / под ред. В.Е. Кардашевской, М.И. Ефимовой. Якутск :Сахаполиграфиздат, 2004. С. 121-126. 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Курбатский Н.П. Проблема лесных пожаров // Возникновение лесных пожаров / под ред. Н.П. Курбатского. М. : Наука, 1964. С. 5-60. </w:t>
      </w:r>
    </w:p>
    <w:p w:rsidR="00EA28B6" w:rsidRPr="006A3487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Методы изучения лесных сообществ / под ред. В.Т. Ярошенко, И.В. Лязгунова/. – СПб, 2002. – 240 с.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Санников С.Н. Лесные пожары как фактор преобразования структуры, возобновления и эволюции биогеоценоза // Экология. 1981. № 6. С. 23-33.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Уткин А.И. Леса Центральной Якутии. М. : Наука, 1965. 208 с. 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Фуряев В.В. Роль пожаров в процессе лесообразования. Новосибирск : Наука, СИФ, 1996. 252 с. 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Цветков П.А. Лесовозобновительная роль пожаров в северотаежныхлиственничниках Средней Сибири // Сиб. экол. журн. 1996. № 1. С. 61-66. 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Чугунова Р.В. Гари Южной Якутии и их лесовозобновление // Леса Южной Якутии / под ред Л.К. Позднякова. М. : Наука, 1964. С. 110-143. </w:t>
      </w:r>
    </w:p>
    <w:p w:rsidR="00EA28B6" w:rsidRDefault="00EA28B6" w:rsidP="00EA28B6">
      <w:pP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>ЩербаковИ.П., Забелин О.Ф., КарпельБ.А. и др. 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сные пожары в Якутии и их влия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н</w:t>
      </w: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на природу леса. Новосибирск : Наука, 1979. 224 с. </w:t>
      </w:r>
    </w:p>
    <w:p w:rsidR="00EA28B6" w:rsidRPr="008475AE" w:rsidRDefault="00EA28B6" w:rsidP="00EA28B6">
      <w:pPr>
        <w:rPr>
          <w:rFonts w:ascii="Times New Roman" w:hAnsi="Times New Roman" w:cs="Times New Roman"/>
          <w:sz w:val="24"/>
          <w:szCs w:val="24"/>
        </w:rPr>
      </w:pPr>
      <w:r w:rsidRPr="00847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Щербаков И.П. Лесной покров Северо-Востока СССР. Новосибирск : Наука, 1975. 344 с. </w:t>
      </w:r>
    </w:p>
    <w:p w:rsidR="00C357BB" w:rsidRDefault="00C357BB"/>
    <w:sectPr w:rsidR="00C357BB" w:rsidSect="00E0334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8360"/>
    </w:sdtPr>
    <w:sdtEndPr/>
    <w:sdtContent>
      <w:p w:rsidR="00AC179C" w:rsidRDefault="00EA28B6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9B74E5" w:rsidRDefault="00EA28B6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A28B6"/>
    <w:rsid w:val="002A6266"/>
    <w:rsid w:val="00B8579A"/>
    <w:rsid w:val="00B91F24"/>
    <w:rsid w:val="00BF16F1"/>
    <w:rsid w:val="00BF3E9E"/>
    <w:rsid w:val="00C357BB"/>
    <w:rsid w:val="00D24622"/>
    <w:rsid w:val="00D624D8"/>
    <w:rsid w:val="00EA28B6"/>
    <w:rsid w:val="00EC6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8B6"/>
    <w:pPr>
      <w:spacing w:after="0" w:line="36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A28B6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A28B6"/>
  </w:style>
  <w:style w:type="table" w:styleId="a5">
    <w:name w:val="Table Grid"/>
    <w:basedOn w:val="a1"/>
    <w:uiPriority w:val="59"/>
    <w:rsid w:val="00EA28B6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A28B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A28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2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Лист1!$A$28</c:f>
              <c:strCache>
                <c:ptCount val="1"/>
                <c:pt idx="0">
                  <c:v>2015</c:v>
                </c:pt>
              </c:strCache>
            </c:strRef>
          </c:tx>
          <c:cat>
            <c:multiLvlStrRef>
              <c:f>Лист1!$B$26:$G$27</c:f>
              <c:multiLvlStrCache>
                <c:ptCount val="6"/>
                <c:lvl>
                  <c:pt idx="0">
                    <c:v>Гарь</c:v>
                  </c:pt>
                  <c:pt idx="1">
                    <c:v>Контрольный участок</c:v>
                  </c:pt>
                  <c:pt idx="2">
                    <c:v>Гарь</c:v>
                  </c:pt>
                  <c:pt idx="3">
                    <c:v>Контрольный участок</c:v>
                  </c:pt>
                  <c:pt idx="4">
                    <c:v>Гарь</c:v>
                  </c:pt>
                  <c:pt idx="5">
                    <c:v>Контрольный участок</c:v>
                  </c:pt>
                </c:lvl>
                <c:lvl>
                  <c:pt idx="0">
                    <c:v>Голубика обыкновенная</c:v>
                  </c:pt>
                  <c:pt idx="2">
                    <c:v>Береза плосколистная</c:v>
                  </c:pt>
                  <c:pt idx="4">
                    <c:v>Лиственница даурская</c:v>
                  </c:pt>
                </c:lvl>
              </c:multiLvlStrCache>
            </c:multiLvlStrRef>
          </c:cat>
          <c:val>
            <c:numRef>
              <c:f>Лист1!$B$28:$G$28</c:f>
              <c:numCache>
                <c:formatCode>General</c:formatCode>
                <c:ptCount val="6"/>
                <c:pt idx="0">
                  <c:v>5.0999999999999996</c:v>
                </c:pt>
                <c:pt idx="1">
                  <c:v>7.5</c:v>
                </c:pt>
                <c:pt idx="2">
                  <c:v>0.30000000000000032</c:v>
                </c:pt>
                <c:pt idx="3">
                  <c:v>8.7000000000000011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Лист1!$A$29</c:f>
              <c:strCache>
                <c:ptCount val="1"/>
                <c:pt idx="0">
                  <c:v>2016</c:v>
                </c:pt>
              </c:strCache>
            </c:strRef>
          </c:tx>
          <c:cat>
            <c:multiLvlStrRef>
              <c:f>Лист1!$B$26:$G$27</c:f>
              <c:multiLvlStrCache>
                <c:ptCount val="6"/>
                <c:lvl>
                  <c:pt idx="0">
                    <c:v>Гарь</c:v>
                  </c:pt>
                  <c:pt idx="1">
                    <c:v>Контрольный участок</c:v>
                  </c:pt>
                  <c:pt idx="2">
                    <c:v>Гарь</c:v>
                  </c:pt>
                  <c:pt idx="3">
                    <c:v>Контрольный участок</c:v>
                  </c:pt>
                  <c:pt idx="4">
                    <c:v>Гарь</c:v>
                  </c:pt>
                  <c:pt idx="5">
                    <c:v>Контрольный участок</c:v>
                  </c:pt>
                </c:lvl>
                <c:lvl>
                  <c:pt idx="0">
                    <c:v>Голубика обыкновенная</c:v>
                  </c:pt>
                  <c:pt idx="2">
                    <c:v>Береза плосколистная</c:v>
                  </c:pt>
                  <c:pt idx="4">
                    <c:v>Лиственница даурская</c:v>
                  </c:pt>
                </c:lvl>
              </c:multiLvlStrCache>
            </c:multiLvlStrRef>
          </c:cat>
          <c:val>
            <c:numRef>
              <c:f>Лист1!$B$29:$G$29</c:f>
              <c:numCache>
                <c:formatCode>General</c:formatCode>
                <c:ptCount val="6"/>
                <c:pt idx="0">
                  <c:v>8.5</c:v>
                </c:pt>
                <c:pt idx="1">
                  <c:v>8.3000000000000007</c:v>
                </c:pt>
                <c:pt idx="2">
                  <c:v>0.9</c:v>
                </c:pt>
                <c:pt idx="3">
                  <c:v>9.5</c:v>
                </c:pt>
                <c:pt idx="4">
                  <c:v>0.1</c:v>
                </c:pt>
                <c:pt idx="5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Лист1!$A$30</c:f>
              <c:strCache>
                <c:ptCount val="1"/>
                <c:pt idx="0">
                  <c:v>2017</c:v>
                </c:pt>
              </c:strCache>
            </c:strRef>
          </c:tx>
          <c:cat>
            <c:multiLvlStrRef>
              <c:f>Лист1!$B$26:$G$27</c:f>
              <c:multiLvlStrCache>
                <c:ptCount val="6"/>
                <c:lvl>
                  <c:pt idx="0">
                    <c:v>Гарь</c:v>
                  </c:pt>
                  <c:pt idx="1">
                    <c:v>Контрольный участок</c:v>
                  </c:pt>
                  <c:pt idx="2">
                    <c:v>Гарь</c:v>
                  </c:pt>
                  <c:pt idx="3">
                    <c:v>Контрольный участок</c:v>
                  </c:pt>
                  <c:pt idx="4">
                    <c:v>Гарь</c:v>
                  </c:pt>
                  <c:pt idx="5">
                    <c:v>Контрольный участок</c:v>
                  </c:pt>
                </c:lvl>
                <c:lvl>
                  <c:pt idx="0">
                    <c:v>Голубика обыкновенная</c:v>
                  </c:pt>
                  <c:pt idx="2">
                    <c:v>Береза плосколистная</c:v>
                  </c:pt>
                  <c:pt idx="4">
                    <c:v>Лиственница даурская</c:v>
                  </c:pt>
                </c:lvl>
              </c:multiLvlStrCache>
            </c:multiLvlStrRef>
          </c:cat>
          <c:val>
            <c:numRef>
              <c:f>Лист1!$B$30:$G$30</c:f>
              <c:numCache>
                <c:formatCode>General</c:formatCode>
                <c:ptCount val="6"/>
                <c:pt idx="0">
                  <c:v>9.3000000000000007</c:v>
                </c:pt>
                <c:pt idx="1">
                  <c:v>9.9</c:v>
                </c:pt>
                <c:pt idx="2">
                  <c:v>0.9</c:v>
                </c:pt>
                <c:pt idx="3">
                  <c:v>10.3</c:v>
                </c:pt>
                <c:pt idx="4">
                  <c:v>0.2</c:v>
                </c:pt>
                <c:pt idx="5">
                  <c:v>0.60000000000000064</c:v>
                </c:pt>
              </c:numCache>
            </c:numRef>
          </c:val>
        </c:ser>
        <c:dLbls>
          <c:showVal val="1"/>
        </c:dLbls>
        <c:gapWidth val="75"/>
        <c:axId val="93092096"/>
        <c:axId val="93097984"/>
      </c:barChart>
      <c:catAx>
        <c:axId val="93092096"/>
        <c:scaling>
          <c:orientation val="minMax"/>
        </c:scaling>
        <c:axPos val="b"/>
        <c:majorTickMark val="none"/>
        <c:tickLblPos val="nextTo"/>
        <c:crossAx val="93097984"/>
        <c:crosses val="autoZero"/>
        <c:auto val="1"/>
        <c:lblAlgn val="ctr"/>
        <c:lblOffset val="100"/>
      </c:catAx>
      <c:valAx>
        <c:axId val="93097984"/>
        <c:scaling>
          <c:orientation val="minMax"/>
        </c:scaling>
        <c:axPos val="l"/>
        <c:numFmt formatCode="General" sourceLinked="1"/>
        <c:majorTickMark val="none"/>
        <c:tickLblPos val="nextTo"/>
        <c:crossAx val="9309209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Лист2!$E$2</c:f>
              <c:strCache>
                <c:ptCount val="1"/>
                <c:pt idx="0">
                  <c:v>2013</c:v>
                </c:pt>
              </c:strCache>
            </c:strRef>
          </c:tx>
          <c:cat>
            <c:multiLvlStrRef>
              <c:f>Лист2!$C$3:$D$8</c:f>
              <c:multiLvlStrCache>
                <c:ptCount val="6"/>
                <c:lvl>
                  <c:pt idx="0">
                    <c:v>Гарь</c:v>
                  </c:pt>
                  <c:pt idx="1">
                    <c:v>Контрольный участок</c:v>
                  </c:pt>
                  <c:pt idx="2">
                    <c:v>Гарь</c:v>
                  </c:pt>
                  <c:pt idx="3">
                    <c:v>Контрольный участок</c:v>
                  </c:pt>
                  <c:pt idx="4">
                    <c:v>Гарь</c:v>
                  </c:pt>
                  <c:pt idx="5">
                    <c:v>Контрольный участок</c:v>
                  </c:pt>
                </c:lvl>
                <c:lvl>
                  <c:pt idx="0">
                    <c:v>Голубика обыкновенная</c:v>
                  </c:pt>
                  <c:pt idx="2">
                    <c:v>Береза плосколистная</c:v>
                  </c:pt>
                  <c:pt idx="4">
                    <c:v>Лиственница даурская</c:v>
                  </c:pt>
                </c:lvl>
              </c:multiLvlStrCache>
            </c:multiLvlStrRef>
          </c:cat>
          <c:val>
            <c:numRef>
              <c:f>Лист2!$E$3:$E$8</c:f>
              <c:numCache>
                <c:formatCode>General</c:formatCode>
                <c:ptCount val="6"/>
                <c:pt idx="0">
                  <c:v>12000</c:v>
                </c:pt>
                <c:pt idx="1">
                  <c:v>14000</c:v>
                </c:pt>
                <c:pt idx="2">
                  <c:v>500</c:v>
                </c:pt>
                <c:pt idx="3">
                  <c:v>5750</c:v>
                </c:pt>
                <c:pt idx="4">
                  <c:v>0</c:v>
                </c:pt>
                <c:pt idx="5">
                  <c:v>26500</c:v>
                </c:pt>
              </c:numCache>
            </c:numRef>
          </c:val>
        </c:ser>
        <c:ser>
          <c:idx val="1"/>
          <c:order val="1"/>
          <c:tx>
            <c:strRef>
              <c:f>Лист2!$F$2</c:f>
              <c:strCache>
                <c:ptCount val="1"/>
                <c:pt idx="0">
                  <c:v>2014</c:v>
                </c:pt>
              </c:strCache>
            </c:strRef>
          </c:tx>
          <c:cat>
            <c:multiLvlStrRef>
              <c:f>Лист2!$C$3:$D$8</c:f>
              <c:multiLvlStrCache>
                <c:ptCount val="6"/>
                <c:lvl>
                  <c:pt idx="0">
                    <c:v>Гарь</c:v>
                  </c:pt>
                  <c:pt idx="1">
                    <c:v>Контрольный участок</c:v>
                  </c:pt>
                  <c:pt idx="2">
                    <c:v>Гарь</c:v>
                  </c:pt>
                  <c:pt idx="3">
                    <c:v>Контрольный участок</c:v>
                  </c:pt>
                  <c:pt idx="4">
                    <c:v>Гарь</c:v>
                  </c:pt>
                  <c:pt idx="5">
                    <c:v>Контрольный участок</c:v>
                  </c:pt>
                </c:lvl>
                <c:lvl>
                  <c:pt idx="0">
                    <c:v>Голубика обыкновенная</c:v>
                  </c:pt>
                  <c:pt idx="2">
                    <c:v>Береза плосколистная</c:v>
                  </c:pt>
                  <c:pt idx="4">
                    <c:v>Лиственница даурская</c:v>
                  </c:pt>
                </c:lvl>
              </c:multiLvlStrCache>
            </c:multiLvlStrRef>
          </c:cat>
          <c:val>
            <c:numRef>
              <c:f>Лист2!$F$3:$F$8</c:f>
              <c:numCache>
                <c:formatCode>General</c:formatCode>
                <c:ptCount val="6"/>
                <c:pt idx="0">
                  <c:v>18750</c:v>
                </c:pt>
                <c:pt idx="1">
                  <c:v>10750</c:v>
                </c:pt>
                <c:pt idx="2">
                  <c:v>1250</c:v>
                </c:pt>
                <c:pt idx="3">
                  <c:v>3750</c:v>
                </c:pt>
                <c:pt idx="4">
                  <c:v>500</c:v>
                </c:pt>
                <c:pt idx="5">
                  <c:v>31250</c:v>
                </c:pt>
              </c:numCache>
            </c:numRef>
          </c:val>
        </c:ser>
        <c:ser>
          <c:idx val="2"/>
          <c:order val="2"/>
          <c:tx>
            <c:strRef>
              <c:f>Лист2!$G$2</c:f>
              <c:strCache>
                <c:ptCount val="1"/>
                <c:pt idx="0">
                  <c:v>2015</c:v>
                </c:pt>
              </c:strCache>
            </c:strRef>
          </c:tx>
          <c:cat>
            <c:multiLvlStrRef>
              <c:f>Лист2!$C$3:$D$8</c:f>
              <c:multiLvlStrCache>
                <c:ptCount val="6"/>
                <c:lvl>
                  <c:pt idx="0">
                    <c:v>Гарь</c:v>
                  </c:pt>
                  <c:pt idx="1">
                    <c:v>Контрольный участок</c:v>
                  </c:pt>
                  <c:pt idx="2">
                    <c:v>Гарь</c:v>
                  </c:pt>
                  <c:pt idx="3">
                    <c:v>Контрольный участок</c:v>
                  </c:pt>
                  <c:pt idx="4">
                    <c:v>Гарь</c:v>
                  </c:pt>
                  <c:pt idx="5">
                    <c:v>Контрольный участок</c:v>
                  </c:pt>
                </c:lvl>
                <c:lvl>
                  <c:pt idx="0">
                    <c:v>Голубика обыкновенная</c:v>
                  </c:pt>
                  <c:pt idx="2">
                    <c:v>Береза плосколистная</c:v>
                  </c:pt>
                  <c:pt idx="4">
                    <c:v>Лиственница даурская</c:v>
                  </c:pt>
                </c:lvl>
              </c:multiLvlStrCache>
            </c:multiLvlStrRef>
          </c:cat>
          <c:val>
            <c:numRef>
              <c:f>Лист2!$G$3:$G$8</c:f>
              <c:numCache>
                <c:formatCode>General</c:formatCode>
                <c:ptCount val="6"/>
                <c:pt idx="0">
                  <c:v>24750</c:v>
                </c:pt>
                <c:pt idx="1">
                  <c:v>15750</c:v>
                </c:pt>
                <c:pt idx="2">
                  <c:v>2250</c:v>
                </c:pt>
                <c:pt idx="3">
                  <c:v>11250</c:v>
                </c:pt>
                <c:pt idx="4">
                  <c:v>1500</c:v>
                </c:pt>
                <c:pt idx="5">
                  <c:v>28250</c:v>
                </c:pt>
              </c:numCache>
            </c:numRef>
          </c:val>
        </c:ser>
        <c:ser>
          <c:idx val="3"/>
          <c:order val="3"/>
          <c:tx>
            <c:strRef>
              <c:f>Лист2!$H$2</c:f>
              <c:strCache>
                <c:ptCount val="1"/>
                <c:pt idx="0">
                  <c:v>2016</c:v>
                </c:pt>
              </c:strCache>
            </c:strRef>
          </c:tx>
          <c:cat>
            <c:multiLvlStrRef>
              <c:f>Лист2!$C$3:$D$8</c:f>
              <c:multiLvlStrCache>
                <c:ptCount val="6"/>
                <c:lvl>
                  <c:pt idx="0">
                    <c:v>Гарь</c:v>
                  </c:pt>
                  <c:pt idx="1">
                    <c:v>Контрольный участок</c:v>
                  </c:pt>
                  <c:pt idx="2">
                    <c:v>Гарь</c:v>
                  </c:pt>
                  <c:pt idx="3">
                    <c:v>Контрольный участок</c:v>
                  </c:pt>
                  <c:pt idx="4">
                    <c:v>Гарь</c:v>
                  </c:pt>
                  <c:pt idx="5">
                    <c:v>Контрольный участок</c:v>
                  </c:pt>
                </c:lvl>
                <c:lvl>
                  <c:pt idx="0">
                    <c:v>Голубика обыкновенная</c:v>
                  </c:pt>
                  <c:pt idx="2">
                    <c:v>Береза плосколистная</c:v>
                  </c:pt>
                  <c:pt idx="4">
                    <c:v>Лиственница даурская</c:v>
                  </c:pt>
                </c:lvl>
              </c:multiLvlStrCache>
            </c:multiLvlStrRef>
          </c:cat>
          <c:val>
            <c:numRef>
              <c:f>Лист2!$H$3:$H$8</c:f>
              <c:numCache>
                <c:formatCode>General</c:formatCode>
                <c:ptCount val="6"/>
                <c:pt idx="0">
                  <c:v>29250</c:v>
                </c:pt>
                <c:pt idx="1">
                  <c:v>26000</c:v>
                </c:pt>
                <c:pt idx="2">
                  <c:v>4250</c:v>
                </c:pt>
                <c:pt idx="3">
                  <c:v>11750</c:v>
                </c:pt>
                <c:pt idx="4">
                  <c:v>4000</c:v>
                </c:pt>
                <c:pt idx="5">
                  <c:v>34000</c:v>
                </c:pt>
              </c:numCache>
            </c:numRef>
          </c:val>
        </c:ser>
        <c:ser>
          <c:idx val="4"/>
          <c:order val="4"/>
          <c:tx>
            <c:strRef>
              <c:f>Лист2!$I$2</c:f>
              <c:strCache>
                <c:ptCount val="1"/>
                <c:pt idx="0">
                  <c:v>2017</c:v>
                </c:pt>
              </c:strCache>
            </c:strRef>
          </c:tx>
          <c:cat>
            <c:multiLvlStrRef>
              <c:f>Лист2!$C$3:$D$8</c:f>
              <c:multiLvlStrCache>
                <c:ptCount val="6"/>
                <c:lvl>
                  <c:pt idx="0">
                    <c:v>Гарь</c:v>
                  </c:pt>
                  <c:pt idx="1">
                    <c:v>Контрольный участок</c:v>
                  </c:pt>
                  <c:pt idx="2">
                    <c:v>Гарь</c:v>
                  </c:pt>
                  <c:pt idx="3">
                    <c:v>Контрольный участок</c:v>
                  </c:pt>
                  <c:pt idx="4">
                    <c:v>Гарь</c:v>
                  </c:pt>
                  <c:pt idx="5">
                    <c:v>Контрольный участок</c:v>
                  </c:pt>
                </c:lvl>
                <c:lvl>
                  <c:pt idx="0">
                    <c:v>Голубика обыкновенная</c:v>
                  </c:pt>
                  <c:pt idx="2">
                    <c:v>Береза плосколистная</c:v>
                  </c:pt>
                  <c:pt idx="4">
                    <c:v>Лиственница даурская</c:v>
                  </c:pt>
                </c:lvl>
              </c:multiLvlStrCache>
            </c:multiLvlStrRef>
          </c:cat>
          <c:val>
            <c:numRef>
              <c:f>Лист2!$I$3:$I$8</c:f>
              <c:numCache>
                <c:formatCode>General</c:formatCode>
                <c:ptCount val="6"/>
                <c:pt idx="0">
                  <c:v>27000</c:v>
                </c:pt>
                <c:pt idx="1">
                  <c:v>26500</c:v>
                </c:pt>
                <c:pt idx="2">
                  <c:v>4750</c:v>
                </c:pt>
                <c:pt idx="3">
                  <c:v>10750</c:v>
                </c:pt>
                <c:pt idx="4">
                  <c:v>8750</c:v>
                </c:pt>
                <c:pt idx="5">
                  <c:v>34000</c:v>
                </c:pt>
              </c:numCache>
            </c:numRef>
          </c:val>
        </c:ser>
        <c:axId val="93117440"/>
        <c:axId val="92279552"/>
      </c:barChart>
      <c:catAx>
        <c:axId val="93117440"/>
        <c:scaling>
          <c:orientation val="minMax"/>
        </c:scaling>
        <c:axPos val="b"/>
        <c:tickLblPos val="nextTo"/>
        <c:crossAx val="92279552"/>
        <c:crosses val="autoZero"/>
        <c:auto val="1"/>
        <c:lblAlgn val="ctr"/>
        <c:lblOffset val="100"/>
      </c:catAx>
      <c:valAx>
        <c:axId val="92279552"/>
        <c:scaling>
          <c:orientation val="minMax"/>
        </c:scaling>
        <c:axPos val="l"/>
        <c:majorGridlines/>
        <c:numFmt formatCode="General" sourceLinked="1"/>
        <c:tickLblPos val="nextTo"/>
        <c:crossAx val="931174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2817</Words>
  <Characters>16057</Characters>
  <Application>Microsoft Office Word</Application>
  <DocSecurity>0</DocSecurity>
  <Lines>133</Lines>
  <Paragraphs>37</Paragraphs>
  <ScaleCrop>false</ScaleCrop>
  <Company/>
  <LinksUpToDate>false</LinksUpToDate>
  <CharactersWithSpaces>18837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2019-02-19T02:08:00Z</dcterms:created>
  <dcterms:modified xsi:type="dcterms:W3CDTF">2019-02-19T02:08:00Z</dcterms:modified>
</cp:coreProperties>
</file>